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1"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8242"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58243"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0AE4991D" w:rsidR="00990112" w:rsidRPr="00EF56DE" w:rsidRDefault="00990112" w:rsidP="00990112">
      <w:pPr>
        <w:rPr>
          <w:rFonts w:ascii="Microsoft Sans Serif"/>
          <w:spacing w:val="1"/>
          <w:sz w:val="28"/>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r w:rsidR="00F6797C" w:rsidRPr="00F6797C">
        <w:rPr>
          <w:rFonts w:ascii="Microsoft Sans Serif"/>
          <w:spacing w:val="-4"/>
          <w:sz w:val="28"/>
        </w:rPr>
        <w:t xml:space="preserve">ETC Group Physical </w:t>
      </w:r>
      <w:r w:rsidR="0080374F">
        <w:rPr>
          <w:rFonts w:ascii="Microsoft Sans Serif"/>
          <w:spacing w:val="-4"/>
          <w:sz w:val="28"/>
        </w:rPr>
        <w:t>Polygon</w:t>
      </w:r>
      <w:r w:rsidRPr="00705DA3">
        <w:rPr>
          <w:rFonts w:ascii="Microsoft Sans Serif"/>
          <w:spacing w:val="-4"/>
          <w:sz w:val="28"/>
        </w:rPr>
        <w:t xml:space="preserve">, </w:t>
      </w:r>
      <w:r w:rsidRPr="00705DA3">
        <w:rPr>
          <w:rFonts w:ascii="Microsoft Sans Serif"/>
          <w:spacing w:val="1"/>
          <w:sz w:val="28"/>
        </w:rPr>
        <w:t xml:space="preserve">ISIN </w:t>
      </w:r>
      <w:r w:rsidR="0080374F">
        <w:rPr>
          <w:rFonts w:ascii="Microsoft Sans Serif"/>
          <w:spacing w:val="1"/>
          <w:sz w:val="28"/>
        </w:rPr>
        <w:t>DE000A3GWNP4</w:t>
      </w:r>
      <w:r w:rsidRPr="00705DA3">
        <w:rPr>
          <w:rFonts w:ascii="Microsoft Sans Serif"/>
          <w:spacing w:val="1"/>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4673D772" w:rsidR="00990112" w:rsidRDefault="00990112" w:rsidP="00990112">
      <w:pPr>
        <w:spacing w:before="1"/>
        <w:ind w:left="1440"/>
        <w:rPr>
          <w:rFonts w:ascii="Microsoft Sans Serif"/>
        </w:rPr>
      </w:pPr>
      <w:r w:rsidRPr="00F303C9">
        <w:rPr>
          <w:rFonts w:ascii="Microsoft Sans Serif"/>
        </w:rPr>
        <w:t>Last</w:t>
      </w:r>
      <w:r w:rsidRPr="00F303C9">
        <w:rPr>
          <w:rFonts w:ascii="Microsoft Sans Serif"/>
          <w:spacing w:val="-9"/>
        </w:rPr>
        <w:t xml:space="preserve"> </w:t>
      </w:r>
      <w:r w:rsidRPr="00F303C9">
        <w:rPr>
          <w:rFonts w:ascii="Microsoft Sans Serif"/>
        </w:rPr>
        <w:t>update:</w:t>
      </w:r>
      <w:r w:rsidRPr="00F303C9">
        <w:rPr>
          <w:rFonts w:ascii="Microsoft Sans Serif"/>
          <w:spacing w:val="-4"/>
        </w:rPr>
        <w:t xml:space="preserve"> </w:t>
      </w:r>
      <w:r w:rsidR="00CE52CF">
        <w:rPr>
          <w:rFonts w:ascii="Microsoft Sans Serif"/>
          <w:spacing w:val="-4"/>
        </w:rPr>
        <w:t>28 August</w:t>
      </w:r>
      <w:r w:rsidR="00840AA0" w:rsidRPr="00F303C9">
        <w:rPr>
          <w:rFonts w:ascii="Microsoft Sans Serif"/>
          <w:spacing w:val="-4"/>
        </w:rPr>
        <w:t xml:space="preserve"> 2023</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8240"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15E0C"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4089DAB6"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r w:rsidR="00215095" w:rsidRPr="00215095">
        <w:rPr>
          <w:rFonts w:ascii="Calibri" w:hAnsi="Calibri" w:cs="Calibri"/>
          <w:sz w:val="20"/>
          <w:u w:val="single"/>
        </w:rPr>
        <w:t xml:space="preserve">ETC Group Physical </w:t>
      </w:r>
      <w:r w:rsidR="006A1799">
        <w:rPr>
          <w:rFonts w:ascii="Calibri" w:hAnsi="Calibri" w:cs="Calibri"/>
          <w:sz w:val="20"/>
          <w:u w:val="single"/>
        </w:rPr>
        <w:t>Polygon</w:t>
      </w:r>
      <w:r w:rsidR="00215095">
        <w:rPr>
          <w:rFonts w:ascii="Calibri" w:hAnsi="Calibri" w:cs="Calibri"/>
          <w:sz w:val="20"/>
          <w:u w:val="single"/>
        </w:rPr>
        <w:t xml:space="preserve"> </w:t>
      </w:r>
      <w:r w:rsidRPr="00CC768E">
        <w:rPr>
          <w:rFonts w:ascii="Calibri" w:hAnsi="Calibri" w:cs="Calibri"/>
          <w:sz w:val="20"/>
          <w:u w:val="single"/>
        </w:rPr>
        <w:t xml:space="preserve">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1E15C4CE"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CB7E8D">
        <w:rPr>
          <w:rFonts w:ascii="Calibri" w:hAnsi="Calibri" w:cs="Calibri"/>
          <w:sz w:val="20"/>
        </w:rPr>
        <w:t>MTCE</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Redemption Notice (</w:t>
      </w:r>
      <w:proofErr w:type="spellStart"/>
      <w:r w:rsidRPr="009763DF">
        <w:rPr>
          <w:rFonts w:ascii="Calibri" w:hAnsi="Calibri" w:cs="Calibri"/>
          <w:sz w:val="20"/>
        </w:rPr>
        <w:t>i</w:t>
      </w:r>
      <w:proofErr w:type="spellEnd"/>
      <w:r w:rsidRPr="009763DF">
        <w:rPr>
          <w:rFonts w:ascii="Calibri" w:hAnsi="Calibri" w:cs="Calibri"/>
          <w:sz w:val="20"/>
        </w:rPr>
        <w:t xml:space="preserve">)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w:t>
      </w:r>
      <w:proofErr w:type="spellStart"/>
      <w:r w:rsidRPr="008F3713">
        <w:rPr>
          <w:rFonts w:ascii="Calibri" w:hAnsi="Calibri" w:cs="Calibri"/>
          <w:sz w:val="20"/>
        </w:rPr>
        <w:t>i</w:t>
      </w:r>
      <w:proofErr w:type="spellEnd"/>
      <w:r w:rsidRPr="008F3713">
        <w:rPr>
          <w:rFonts w:ascii="Calibri" w:hAnsi="Calibri" w:cs="Calibri"/>
          <w:sz w:val="20"/>
        </w:rPr>
        <w:t>)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w:t>
      </w:r>
      <w:proofErr w:type="spellStart"/>
      <w:r w:rsidRPr="009E0C40">
        <w:rPr>
          <w:rFonts w:ascii="Calibri" w:hAnsi="Calibri" w:cs="Calibri"/>
          <w:sz w:val="20"/>
        </w:rPr>
        <w:t>FoP</w:t>
      </w:r>
      <w:proofErr w:type="spellEnd"/>
      <w:r w:rsidRPr="009E0C40">
        <w:rPr>
          <w:rFonts w:ascii="Calibri" w:hAnsi="Calibri" w:cs="Calibri"/>
          <w:sz w:val="20"/>
        </w:rPr>
        <w:t>)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98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7"/>
        <w:gridCol w:w="4642"/>
      </w:tblGrid>
      <w:tr w:rsidR="000B5E98" w:rsidRPr="000B5E98" w14:paraId="642C4FFD" w14:textId="77777777" w:rsidTr="00932836">
        <w:trPr>
          <w:trHeight w:val="395"/>
        </w:trPr>
        <w:tc>
          <w:tcPr>
            <w:tcW w:w="517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25D45899"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F11105" w:rsidRPr="00F11105">
              <w:rPr>
                <w:rFonts w:ascii="Calibri" w:hAnsi="Calibri" w:cs="Calibri"/>
                <w:b/>
                <w:sz w:val="20"/>
              </w:rPr>
              <w:t>QUBKDEBBXXX</w:t>
            </w:r>
            <w:r w:rsidRPr="000B5E98">
              <w:rPr>
                <w:rFonts w:ascii="Calibri" w:hAnsi="Calibri" w:cs="Calibri"/>
                <w:b/>
                <w:sz w:val="20"/>
              </w:rPr>
              <w:t>)</w:t>
            </w:r>
          </w:p>
        </w:tc>
      </w:tr>
      <w:tr w:rsidR="000B5E98" w:rsidRPr="000B5E98" w14:paraId="35E452D1" w14:textId="77777777" w:rsidTr="00932836">
        <w:trPr>
          <w:trHeight w:val="394"/>
        </w:trPr>
        <w:tc>
          <w:tcPr>
            <w:tcW w:w="5177" w:type="dxa"/>
            <w:shd w:val="clear" w:color="auto" w:fill="F1F1F1"/>
          </w:tcPr>
          <w:p w14:paraId="13059AF1" w14:textId="041160EC" w:rsidR="000B5E98" w:rsidRPr="000B5E98" w:rsidRDefault="000B5E98" w:rsidP="00EC3ED2">
            <w:pPr>
              <w:ind w:right="119"/>
              <w:jc w:val="both"/>
              <w:rPr>
                <w:rFonts w:ascii="Calibri" w:hAnsi="Calibri" w:cs="Calibri"/>
                <w:b/>
                <w:sz w:val="20"/>
              </w:rPr>
            </w:pPr>
            <w:proofErr w:type="spellStart"/>
            <w:r w:rsidRPr="000B5E98">
              <w:rPr>
                <w:rFonts w:ascii="Calibri" w:hAnsi="Calibri" w:cs="Calibri"/>
                <w:b/>
                <w:sz w:val="20"/>
              </w:rPr>
              <w:t>Clearstream</w:t>
            </w:r>
            <w:proofErr w:type="spellEnd"/>
            <w:r w:rsidRPr="000B5E98">
              <w:rPr>
                <w:rFonts w:ascii="Calibri" w:hAnsi="Calibri" w:cs="Calibri"/>
                <w:b/>
                <w:sz w:val="20"/>
              </w:rPr>
              <w:t xml:space="preserve"> Banking Frankfurt</w:t>
            </w:r>
            <w:r w:rsidR="00932836">
              <w:rPr>
                <w:rFonts w:ascii="Calibri" w:hAnsi="Calibri" w:cs="Calibri"/>
                <w:b/>
                <w:sz w:val="20"/>
              </w:rPr>
              <w:t xml:space="preserve"> participant code: </w:t>
            </w:r>
            <w:r w:rsidR="0036552C">
              <w:rPr>
                <w:rFonts w:ascii="Calibri" w:hAnsi="Calibri" w:cs="Calibri"/>
                <w:b/>
                <w:sz w:val="20"/>
              </w:rPr>
              <w:t>1107</w:t>
            </w:r>
          </w:p>
        </w:tc>
        <w:tc>
          <w:tcPr>
            <w:tcW w:w="4642" w:type="dxa"/>
            <w:shd w:val="clear" w:color="auto" w:fill="F1F1F1"/>
          </w:tcPr>
          <w:p w14:paraId="5915D6F5" w14:textId="6BA88DAF"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r w:rsidR="008B0E72" w:rsidRPr="008B0E72">
              <w:rPr>
                <w:rFonts w:ascii="Calibri" w:hAnsi="Calibri" w:cs="Calibri"/>
                <w:b/>
                <w:sz w:val="20"/>
              </w:rPr>
              <w:t xml:space="preserve">Quirin Privatbank AG </w:t>
            </w:r>
            <w:r w:rsidRPr="000B5E98">
              <w:rPr>
                <w:rFonts w:ascii="Calibri" w:hAnsi="Calibri" w:cs="Calibri"/>
                <w:b/>
                <w:sz w:val="20"/>
              </w:rPr>
              <w:t xml:space="preserve">(BIC </w:t>
            </w:r>
            <w:r w:rsidR="008B0E72" w:rsidRPr="008B0E72">
              <w:rPr>
                <w:rFonts w:ascii="Calibri" w:hAnsi="Calibri" w:cs="Calibri"/>
                <w:b/>
                <w:sz w:val="20"/>
              </w:rPr>
              <w:t>QUBKDEBBXXX</w:t>
            </w:r>
            <w:r w:rsidRPr="000B5E98">
              <w:rPr>
                <w:rFonts w:ascii="Calibri" w:hAnsi="Calibri" w:cs="Calibri"/>
                <w:b/>
                <w:sz w:val="20"/>
              </w:rPr>
              <w:t>)</w:t>
            </w:r>
          </w:p>
        </w:tc>
      </w:tr>
      <w:tr w:rsidR="000B5E98" w:rsidRPr="000B5E98" w14:paraId="173274CF" w14:textId="77777777" w:rsidTr="00932836">
        <w:trPr>
          <w:trHeight w:val="400"/>
        </w:trPr>
        <w:tc>
          <w:tcPr>
            <w:tcW w:w="517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701ED14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account </w:t>
            </w:r>
            <w:r w:rsidR="007D141F" w:rsidRPr="007D141F">
              <w:rPr>
                <w:rFonts w:ascii="Calibri" w:hAnsi="Calibri" w:cs="Calibri"/>
                <w:b/>
                <w:sz w:val="20"/>
              </w:rPr>
              <w:t>599068960</w:t>
            </w:r>
            <w:r w:rsidR="0080374F">
              <w:rPr>
                <w:rFonts w:ascii="Calibri" w:hAnsi="Calibri" w:cs="Calibri"/>
                <w:b/>
                <w:sz w:val="20"/>
              </w:rPr>
              <w:t>8</w:t>
            </w:r>
          </w:p>
        </w:tc>
      </w:tr>
    </w:tbl>
    <w:p w14:paraId="13490AFD" w14:textId="77777777" w:rsidR="00DF2689" w:rsidRDefault="00DF2689" w:rsidP="00EC3ED2">
      <w:pPr>
        <w:ind w:right="119"/>
        <w:jc w:val="both"/>
        <w:rPr>
          <w:rFonts w:ascii="Calibri" w:hAnsi="Calibri" w:cs="Calibri"/>
          <w:sz w:val="20"/>
        </w:rPr>
      </w:pPr>
    </w:p>
    <w:p w14:paraId="16FD4235" w14:textId="66CA5499" w:rsidR="009E0C40" w:rsidRPr="00C0291F"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redemptions@etc-</w:t>
      </w:r>
      <w:r w:rsidRPr="00C0291F">
        <w:rPr>
          <w:rFonts w:ascii="Calibri" w:hAnsi="Calibri" w:cs="Calibri"/>
          <w:sz w:val="20"/>
        </w:rPr>
        <w:t xml:space="preserve">group.com specifying </w:t>
      </w:r>
      <w:r w:rsidR="00456015" w:rsidRPr="00C0291F">
        <w:rPr>
          <w:rFonts w:ascii="Calibri" w:hAnsi="Calibri" w:cs="Calibri"/>
          <w:sz w:val="20"/>
        </w:rPr>
        <w:t>Bonds</w:t>
      </w:r>
      <w:r w:rsidRPr="00C0291F">
        <w:rPr>
          <w:rFonts w:ascii="Calibri" w:hAnsi="Calibri" w:cs="Calibri"/>
          <w:sz w:val="20"/>
        </w:rPr>
        <w:t xml:space="preserve"> ISIN (</w:t>
      </w:r>
      <w:r w:rsidR="0080374F">
        <w:rPr>
          <w:rFonts w:ascii="Calibri" w:hAnsi="Calibri" w:cs="Calibri"/>
          <w:sz w:val="20"/>
        </w:rPr>
        <w:t>DE000A3GWNP4</w:t>
      </w:r>
      <w:r w:rsidRPr="00C0291F">
        <w:rPr>
          <w:rFonts w:ascii="Calibri" w:hAnsi="Calibri" w:cs="Calibri"/>
          <w:sz w:val="20"/>
        </w:rPr>
        <w:t xml:space="preserve">), number of </w:t>
      </w:r>
      <w:r w:rsidR="00456015" w:rsidRPr="00C0291F">
        <w:rPr>
          <w:rFonts w:ascii="Calibri" w:hAnsi="Calibri" w:cs="Calibri"/>
          <w:sz w:val="20"/>
        </w:rPr>
        <w:t>Bonds</w:t>
      </w:r>
      <w:r w:rsidRPr="00C0291F">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Once the Issuer has received and processed your (</w:t>
      </w:r>
      <w:proofErr w:type="spellStart"/>
      <w:r w:rsidRPr="00842967">
        <w:rPr>
          <w:rFonts w:ascii="Calibri" w:hAnsi="Calibri" w:cs="Calibri"/>
          <w:sz w:val="20"/>
        </w:rPr>
        <w:t>i</w:t>
      </w:r>
      <w:proofErr w:type="spellEnd"/>
      <w:r w:rsidRPr="00842967">
        <w:rPr>
          <w:rFonts w:ascii="Calibri" w:hAnsi="Calibri" w:cs="Calibri"/>
          <w:sz w:val="20"/>
        </w:rPr>
        <w:t xml:space="preserve">)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74"/>
        <w:gridCol w:w="335"/>
        <w:gridCol w:w="330"/>
        <w:gridCol w:w="318"/>
        <w:gridCol w:w="335"/>
        <w:gridCol w:w="335"/>
        <w:gridCol w:w="374"/>
        <w:gridCol w:w="374"/>
        <w:gridCol w:w="326"/>
        <w:gridCol w:w="326"/>
        <w:gridCol w:w="333"/>
        <w:gridCol w:w="329"/>
        <w:gridCol w:w="327"/>
      </w:tblGrid>
      <w:tr w:rsidR="00C0291F" w:rsidRPr="00C0291F" w14:paraId="515FDCE6" w14:textId="424345C2" w:rsidTr="00C0291F">
        <w:trPr>
          <w:trHeight w:val="340"/>
        </w:trPr>
        <w:tc>
          <w:tcPr>
            <w:tcW w:w="334" w:type="dxa"/>
            <w:shd w:val="clear" w:color="auto" w:fill="FFFFFF" w:themeFill="background1"/>
          </w:tcPr>
          <w:p w14:paraId="62023274" w14:textId="2BCDE025" w:rsidR="00C0291F" w:rsidRPr="00C0291F" w:rsidRDefault="0080374F" w:rsidP="008D24F5">
            <w:pPr>
              <w:jc w:val="center"/>
              <w:rPr>
                <w:rFonts w:ascii="Calibri" w:hAnsi="Calibri" w:cs="Calibri"/>
                <w:b/>
                <w:sz w:val="18"/>
                <w:szCs w:val="18"/>
              </w:rPr>
            </w:pPr>
            <w:r>
              <w:rPr>
                <w:rFonts w:ascii="Calibri" w:hAnsi="Calibri" w:cs="Calibri"/>
                <w:b/>
                <w:sz w:val="18"/>
                <w:szCs w:val="18"/>
              </w:rPr>
              <w:t>M</w:t>
            </w:r>
          </w:p>
        </w:tc>
        <w:tc>
          <w:tcPr>
            <w:tcW w:w="335" w:type="dxa"/>
            <w:shd w:val="clear" w:color="auto" w:fill="FFFFFF" w:themeFill="background1"/>
          </w:tcPr>
          <w:p w14:paraId="60093AF5" w14:textId="2C92E64F" w:rsidR="00C0291F" w:rsidRPr="00C0291F" w:rsidRDefault="0080374F" w:rsidP="008D24F5">
            <w:pPr>
              <w:jc w:val="center"/>
              <w:rPr>
                <w:rFonts w:ascii="Calibri" w:hAnsi="Calibri" w:cs="Calibri"/>
                <w:b/>
                <w:sz w:val="18"/>
                <w:szCs w:val="18"/>
              </w:rPr>
            </w:pPr>
            <w:r>
              <w:rPr>
                <w:rFonts w:ascii="Calibri" w:hAnsi="Calibri" w:cs="Calibri"/>
                <w:b/>
                <w:sz w:val="18"/>
                <w:szCs w:val="18"/>
              </w:rPr>
              <w:t>A</w:t>
            </w:r>
          </w:p>
        </w:tc>
        <w:tc>
          <w:tcPr>
            <w:tcW w:w="330" w:type="dxa"/>
            <w:shd w:val="clear" w:color="auto" w:fill="FFFFFF" w:themeFill="background1"/>
          </w:tcPr>
          <w:p w14:paraId="7D588CED" w14:textId="2092B517" w:rsidR="00C0291F" w:rsidRPr="00C0291F" w:rsidRDefault="00B269E3" w:rsidP="008D24F5">
            <w:pPr>
              <w:jc w:val="center"/>
              <w:rPr>
                <w:rFonts w:ascii="Calibri" w:hAnsi="Calibri" w:cs="Calibri"/>
                <w:b/>
                <w:sz w:val="18"/>
                <w:szCs w:val="18"/>
              </w:rPr>
            </w:pPr>
            <w:r>
              <w:rPr>
                <w:rFonts w:ascii="Calibri" w:hAnsi="Calibri" w:cs="Calibri"/>
                <w:b/>
                <w:sz w:val="18"/>
                <w:szCs w:val="18"/>
              </w:rPr>
              <w:t>T</w:t>
            </w:r>
          </w:p>
        </w:tc>
        <w:tc>
          <w:tcPr>
            <w:tcW w:w="318" w:type="dxa"/>
            <w:shd w:val="clear" w:color="auto" w:fill="F2F2F2" w:themeFill="background1" w:themeFillShade="F2"/>
          </w:tcPr>
          <w:p w14:paraId="15C955A5" w14:textId="2CBA3F43" w:rsidR="00C0291F" w:rsidRPr="00C0291F" w:rsidRDefault="00C0291F" w:rsidP="00804401">
            <w:pPr>
              <w:jc w:val="center"/>
              <w:rPr>
                <w:rFonts w:ascii="Calibri" w:hAnsi="Calibri" w:cs="Calibri"/>
                <w:b/>
                <w:sz w:val="18"/>
              </w:rPr>
            </w:pPr>
            <w:r w:rsidRPr="00C0291F">
              <w:rPr>
                <w:rFonts w:ascii="Calibri" w:hAnsi="Calibri" w:cs="Calibri"/>
                <w:b/>
                <w:sz w:val="18"/>
              </w:rPr>
              <w:t>R</w:t>
            </w:r>
          </w:p>
        </w:tc>
        <w:tc>
          <w:tcPr>
            <w:tcW w:w="335" w:type="dxa"/>
            <w:vAlign w:val="center"/>
          </w:tcPr>
          <w:p w14:paraId="78BD7D90" w14:textId="61CD43EF"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35" w:type="dxa"/>
            <w:vAlign w:val="center"/>
          </w:tcPr>
          <w:p w14:paraId="18870695" w14:textId="0B343472"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D</w:t>
            </w:r>
          </w:p>
        </w:tc>
        <w:tc>
          <w:tcPr>
            <w:tcW w:w="374" w:type="dxa"/>
            <w:vAlign w:val="center"/>
          </w:tcPr>
          <w:p w14:paraId="0F1452FB" w14:textId="01F20570"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74" w:type="dxa"/>
            <w:vAlign w:val="center"/>
          </w:tcPr>
          <w:p w14:paraId="19C01A4A" w14:textId="4361278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M</w:t>
            </w:r>
          </w:p>
        </w:tc>
        <w:tc>
          <w:tcPr>
            <w:tcW w:w="326" w:type="dxa"/>
            <w:vAlign w:val="center"/>
          </w:tcPr>
          <w:p w14:paraId="79BD37B6" w14:textId="0EE06A25"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26" w:type="dxa"/>
            <w:vAlign w:val="center"/>
          </w:tcPr>
          <w:p w14:paraId="6B0F2F1C" w14:textId="1945EB5D" w:rsidR="00C0291F" w:rsidRPr="00C0291F" w:rsidRDefault="00C0291F" w:rsidP="00804401">
            <w:pPr>
              <w:jc w:val="center"/>
              <w:rPr>
                <w:rFonts w:ascii="Calibri" w:hAnsi="Calibri" w:cs="Calibri"/>
                <w:b/>
                <w:color w:val="F2F2F2" w:themeColor="background1" w:themeShade="F2"/>
                <w:sz w:val="18"/>
              </w:rPr>
            </w:pPr>
            <w:r w:rsidRPr="00C0291F">
              <w:rPr>
                <w:rFonts w:ascii="Calibri" w:hAnsi="Calibri" w:cs="Calibri"/>
                <w:b/>
                <w:color w:val="F2F2F2" w:themeColor="background1" w:themeShade="F2"/>
                <w:sz w:val="18"/>
                <w:szCs w:val="18"/>
              </w:rPr>
              <w:t>Y</w:t>
            </w:r>
          </w:p>
        </w:tc>
        <w:tc>
          <w:tcPr>
            <w:tcW w:w="333" w:type="dxa"/>
            <w:vAlign w:val="center"/>
          </w:tcPr>
          <w:p w14:paraId="76A5BAF5" w14:textId="6F38CF47"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A</w:t>
            </w:r>
          </w:p>
        </w:tc>
        <w:tc>
          <w:tcPr>
            <w:tcW w:w="329" w:type="dxa"/>
            <w:vAlign w:val="center"/>
          </w:tcPr>
          <w:p w14:paraId="4F022DA2" w14:textId="7174BBDE"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B</w:t>
            </w:r>
          </w:p>
        </w:tc>
        <w:tc>
          <w:tcPr>
            <w:tcW w:w="327" w:type="dxa"/>
            <w:vAlign w:val="center"/>
          </w:tcPr>
          <w:p w14:paraId="219D7798" w14:textId="26583534" w:rsidR="00C0291F" w:rsidRPr="00C0291F" w:rsidRDefault="00C0291F" w:rsidP="00804401">
            <w:pPr>
              <w:jc w:val="center"/>
              <w:rPr>
                <w:rFonts w:ascii="Calibri" w:hAnsi="Calibri" w:cs="Calibri"/>
                <w:b/>
                <w:color w:val="F2F2F2" w:themeColor="background1" w:themeShade="F2"/>
                <w:sz w:val="18"/>
                <w:szCs w:val="18"/>
              </w:rPr>
            </w:pPr>
            <w:r w:rsidRPr="00C0291F">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572"/>
        <w:gridCol w:w="343"/>
        <w:gridCol w:w="326"/>
        <w:gridCol w:w="328"/>
        <w:gridCol w:w="327"/>
        <w:gridCol w:w="327"/>
        <w:gridCol w:w="338"/>
        <w:gridCol w:w="327"/>
        <w:gridCol w:w="344"/>
        <w:gridCol w:w="398"/>
        <w:gridCol w:w="348"/>
        <w:gridCol w:w="329"/>
        <w:gridCol w:w="327"/>
      </w:tblGrid>
      <w:tr w:rsidR="0080374F" w:rsidRPr="00702467"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702467" w:rsidRDefault="00AD6388" w:rsidP="00B1634E">
            <w:pPr>
              <w:rPr>
                <w:rFonts w:ascii="Calibri" w:hAnsi="Calibri" w:cs="Calibri"/>
                <w:sz w:val="16"/>
              </w:rPr>
            </w:pPr>
            <w:r w:rsidRPr="00702467">
              <w:rPr>
                <w:rFonts w:ascii="Calibri" w:hAnsi="Calibri" w:cs="Calibri"/>
                <w:sz w:val="20"/>
              </w:rPr>
              <w:t>ISIN</w:t>
            </w:r>
          </w:p>
        </w:tc>
        <w:tc>
          <w:tcPr>
            <w:tcW w:w="337" w:type="dxa"/>
            <w:vAlign w:val="center"/>
          </w:tcPr>
          <w:p w14:paraId="11CE537E" w14:textId="309E4C52" w:rsidR="00AD6388" w:rsidRPr="00702467" w:rsidRDefault="00E25473" w:rsidP="00B1634E">
            <w:pPr>
              <w:rPr>
                <w:rFonts w:ascii="Calibri" w:hAnsi="Calibri" w:cs="Calibri"/>
                <w:b/>
                <w:sz w:val="20"/>
              </w:rPr>
            </w:pPr>
            <w:r w:rsidRPr="00702467">
              <w:rPr>
                <w:rFonts w:ascii="Calibri" w:hAnsi="Calibri" w:cs="Calibri"/>
                <w:b/>
                <w:sz w:val="20"/>
              </w:rPr>
              <w:t>D</w:t>
            </w:r>
          </w:p>
        </w:tc>
        <w:tc>
          <w:tcPr>
            <w:tcW w:w="337" w:type="dxa"/>
            <w:vAlign w:val="center"/>
          </w:tcPr>
          <w:p w14:paraId="3365C11F" w14:textId="43E2AA6C" w:rsidR="00AD6388" w:rsidRPr="00702467" w:rsidRDefault="00E25473" w:rsidP="00B1634E">
            <w:pPr>
              <w:rPr>
                <w:rFonts w:ascii="Calibri" w:hAnsi="Calibri" w:cs="Calibri"/>
                <w:b/>
                <w:sz w:val="20"/>
              </w:rPr>
            </w:pPr>
            <w:r w:rsidRPr="00702467">
              <w:rPr>
                <w:rFonts w:ascii="Calibri" w:hAnsi="Calibri" w:cs="Calibri"/>
                <w:b/>
                <w:sz w:val="20"/>
              </w:rPr>
              <w:t>E</w:t>
            </w:r>
          </w:p>
        </w:tc>
        <w:tc>
          <w:tcPr>
            <w:tcW w:w="337" w:type="dxa"/>
            <w:vAlign w:val="center"/>
          </w:tcPr>
          <w:p w14:paraId="61AE8C84" w14:textId="69B0D9C2" w:rsidR="00AD6388" w:rsidRPr="00702467" w:rsidRDefault="00E25473" w:rsidP="00B1634E">
            <w:pPr>
              <w:rPr>
                <w:rFonts w:ascii="Calibri" w:hAnsi="Calibri" w:cs="Calibri"/>
                <w:b/>
                <w:sz w:val="20"/>
              </w:rPr>
            </w:pPr>
            <w:r w:rsidRPr="00702467">
              <w:rPr>
                <w:rFonts w:ascii="Calibri" w:hAnsi="Calibri" w:cs="Calibri"/>
                <w:b/>
                <w:sz w:val="20"/>
              </w:rPr>
              <w:t>0</w:t>
            </w:r>
          </w:p>
        </w:tc>
        <w:tc>
          <w:tcPr>
            <w:tcW w:w="336" w:type="dxa"/>
            <w:vAlign w:val="center"/>
          </w:tcPr>
          <w:p w14:paraId="00517E05" w14:textId="409ED03A"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15C4607" w14:textId="1F4D73C0" w:rsidR="00AD6388" w:rsidRPr="00702467" w:rsidRDefault="00E25473" w:rsidP="00B1634E">
            <w:pPr>
              <w:rPr>
                <w:rFonts w:ascii="Calibri" w:hAnsi="Calibri" w:cs="Calibri"/>
                <w:b/>
                <w:sz w:val="20"/>
              </w:rPr>
            </w:pPr>
            <w:r w:rsidRPr="00702467">
              <w:rPr>
                <w:rFonts w:ascii="Calibri" w:hAnsi="Calibri" w:cs="Calibri"/>
                <w:b/>
                <w:sz w:val="20"/>
              </w:rPr>
              <w:t>0</w:t>
            </w:r>
          </w:p>
        </w:tc>
        <w:tc>
          <w:tcPr>
            <w:tcW w:w="335" w:type="dxa"/>
            <w:vAlign w:val="center"/>
          </w:tcPr>
          <w:p w14:paraId="5BF76DEF" w14:textId="795E5221" w:rsidR="00AD6388" w:rsidRPr="00702467" w:rsidRDefault="00E25473" w:rsidP="00B1634E">
            <w:pPr>
              <w:rPr>
                <w:rFonts w:ascii="Calibri" w:hAnsi="Calibri" w:cs="Calibri"/>
                <w:b/>
                <w:sz w:val="20"/>
              </w:rPr>
            </w:pPr>
            <w:r w:rsidRPr="00702467">
              <w:rPr>
                <w:rFonts w:ascii="Calibri" w:hAnsi="Calibri" w:cs="Calibri"/>
                <w:b/>
                <w:sz w:val="20"/>
              </w:rPr>
              <w:t>A</w:t>
            </w:r>
          </w:p>
        </w:tc>
        <w:tc>
          <w:tcPr>
            <w:tcW w:w="335" w:type="dxa"/>
            <w:vAlign w:val="center"/>
          </w:tcPr>
          <w:p w14:paraId="3E41478F" w14:textId="6214A82A" w:rsidR="00AD6388" w:rsidRPr="00702467" w:rsidRDefault="001B18FC" w:rsidP="00B1634E">
            <w:pPr>
              <w:rPr>
                <w:rFonts w:ascii="Calibri" w:hAnsi="Calibri" w:cs="Calibri"/>
                <w:b/>
                <w:sz w:val="20"/>
              </w:rPr>
            </w:pPr>
            <w:r w:rsidRPr="00702467">
              <w:rPr>
                <w:rFonts w:ascii="Calibri" w:hAnsi="Calibri" w:cs="Calibri"/>
                <w:b/>
                <w:sz w:val="20"/>
              </w:rPr>
              <w:t>3</w:t>
            </w:r>
          </w:p>
        </w:tc>
        <w:tc>
          <w:tcPr>
            <w:tcW w:w="335" w:type="dxa"/>
            <w:vAlign w:val="center"/>
          </w:tcPr>
          <w:p w14:paraId="69631BB4" w14:textId="4D8435A3" w:rsidR="00AD6388" w:rsidRPr="00702467" w:rsidRDefault="001B18FC" w:rsidP="00B1634E">
            <w:pPr>
              <w:rPr>
                <w:rFonts w:ascii="Calibri" w:hAnsi="Calibri" w:cs="Calibri"/>
                <w:b/>
                <w:sz w:val="20"/>
              </w:rPr>
            </w:pPr>
            <w:r w:rsidRPr="00702467">
              <w:rPr>
                <w:rFonts w:ascii="Calibri" w:hAnsi="Calibri" w:cs="Calibri"/>
                <w:b/>
                <w:sz w:val="20"/>
              </w:rPr>
              <w:t>G</w:t>
            </w:r>
          </w:p>
        </w:tc>
        <w:tc>
          <w:tcPr>
            <w:tcW w:w="335" w:type="dxa"/>
            <w:vAlign w:val="center"/>
          </w:tcPr>
          <w:p w14:paraId="1A2AB1AB" w14:textId="4A53B544" w:rsidR="00AD6388" w:rsidRPr="00702467" w:rsidRDefault="0080374F" w:rsidP="00B1634E">
            <w:pPr>
              <w:rPr>
                <w:rFonts w:ascii="Calibri" w:hAnsi="Calibri" w:cs="Calibri"/>
                <w:b/>
                <w:sz w:val="20"/>
              </w:rPr>
            </w:pPr>
            <w:r>
              <w:rPr>
                <w:rFonts w:ascii="Calibri" w:hAnsi="Calibri" w:cs="Calibri"/>
                <w:b/>
                <w:sz w:val="20"/>
              </w:rPr>
              <w:t>W</w:t>
            </w:r>
          </w:p>
        </w:tc>
        <w:tc>
          <w:tcPr>
            <w:tcW w:w="335" w:type="dxa"/>
            <w:vAlign w:val="center"/>
          </w:tcPr>
          <w:p w14:paraId="72EEA876" w14:textId="1489A050" w:rsidR="00AD6388" w:rsidRPr="00702467" w:rsidRDefault="0080374F" w:rsidP="00B1634E">
            <w:pPr>
              <w:rPr>
                <w:rFonts w:ascii="Calibri" w:hAnsi="Calibri" w:cs="Calibri"/>
                <w:b/>
                <w:sz w:val="20"/>
              </w:rPr>
            </w:pPr>
            <w:r>
              <w:rPr>
                <w:rFonts w:ascii="Calibri" w:hAnsi="Calibri" w:cs="Calibri"/>
                <w:b/>
                <w:sz w:val="20"/>
              </w:rPr>
              <w:t>N</w:t>
            </w:r>
          </w:p>
        </w:tc>
        <w:tc>
          <w:tcPr>
            <w:tcW w:w="335" w:type="dxa"/>
            <w:vAlign w:val="center"/>
          </w:tcPr>
          <w:p w14:paraId="48C1B1AD" w14:textId="3A8D171B" w:rsidR="00AD6388" w:rsidRPr="00702467" w:rsidRDefault="0080374F" w:rsidP="00B1634E">
            <w:pPr>
              <w:rPr>
                <w:rFonts w:ascii="Calibri" w:hAnsi="Calibri" w:cs="Calibri"/>
                <w:b/>
                <w:sz w:val="20"/>
              </w:rPr>
            </w:pPr>
            <w:r>
              <w:rPr>
                <w:rFonts w:ascii="Calibri" w:hAnsi="Calibri" w:cs="Calibri"/>
                <w:b/>
                <w:sz w:val="20"/>
              </w:rPr>
              <w:t>P</w:t>
            </w:r>
          </w:p>
        </w:tc>
        <w:tc>
          <w:tcPr>
            <w:tcW w:w="335" w:type="dxa"/>
            <w:vAlign w:val="center"/>
          </w:tcPr>
          <w:p w14:paraId="49CA0899" w14:textId="3B00D4E5" w:rsidR="0090724E" w:rsidRPr="00702467" w:rsidRDefault="0080374F" w:rsidP="00B1634E">
            <w:pPr>
              <w:rPr>
                <w:rFonts w:ascii="Calibri" w:hAnsi="Calibri" w:cs="Calibri"/>
                <w:b/>
                <w:sz w:val="20"/>
              </w:rPr>
            </w:pPr>
            <w:r>
              <w:rPr>
                <w:rFonts w:ascii="Calibri" w:hAnsi="Calibri" w:cs="Calibri"/>
                <w:b/>
                <w:sz w:val="20"/>
              </w:rPr>
              <w:t>4</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Statement from the registry (</w:t>
      </w:r>
      <w:proofErr w:type="spellStart"/>
      <w:r w:rsidRPr="00CF2CDF">
        <w:t>Handelsregister-Auszug</w:t>
      </w:r>
      <w:proofErr w:type="spellEnd"/>
      <w:r w:rsidRPr="00CF2CDF">
        <w:t xml:space="preserve">).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w:t>
      </w:r>
      <w:proofErr w:type="spellStart"/>
      <w:r w:rsidRPr="00CF2CDF">
        <w:t>authorised</w:t>
      </w:r>
      <w:proofErr w:type="spellEnd"/>
      <w:r w:rsidRPr="00CF2CDF">
        <w:t xml:space="preserve">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62DCBCF3" w:rsidR="00E862C6" w:rsidRDefault="00EA7FF5" w:rsidP="00E92B4B">
      <w:pPr>
        <w:rPr>
          <w:sz w:val="20"/>
          <w:szCs w:val="20"/>
        </w:rPr>
      </w:pPr>
      <w:r>
        <w:rPr>
          <w:sz w:val="18"/>
          <w:szCs w:val="18"/>
        </w:rPr>
        <w:t xml:space="preserve">The Issuer will do this for you. The </w:t>
      </w:r>
      <w:r w:rsidRPr="0035441F">
        <w:rPr>
          <w:sz w:val="18"/>
          <w:szCs w:val="18"/>
        </w:rPr>
        <w:t xml:space="preserve">way it is calculated is that each unit of a Security represents an investor’s claim to an amount of the Cryptocurrency Entitlement (“CE”). </w:t>
      </w:r>
      <w:r w:rsidR="00C0680B" w:rsidRPr="0035441F">
        <w:rPr>
          <w:sz w:val="18"/>
          <w:szCs w:val="18"/>
        </w:rPr>
        <w:t>I</w:t>
      </w:r>
      <w:r w:rsidRPr="0035441F">
        <w:rPr>
          <w:sz w:val="18"/>
          <w:szCs w:val="18"/>
        </w:rPr>
        <w:t>nitially (at date of issue</w:t>
      </w:r>
      <w:r w:rsidR="00566694" w:rsidRPr="0035441F">
        <w:rPr>
          <w:sz w:val="18"/>
          <w:szCs w:val="18"/>
        </w:rPr>
        <w:t xml:space="preserve">, </w:t>
      </w:r>
      <w:r w:rsidR="0080374F">
        <w:rPr>
          <w:sz w:val="18"/>
          <w:szCs w:val="18"/>
        </w:rPr>
        <w:t>2nd February 2022</w:t>
      </w:r>
      <w:r w:rsidRPr="0035441F">
        <w:rPr>
          <w:sz w:val="18"/>
          <w:szCs w:val="18"/>
        </w:rPr>
        <w:t xml:space="preserve">) the CE of the </w:t>
      </w:r>
      <w:r w:rsidR="003E15C1" w:rsidRPr="0035441F">
        <w:rPr>
          <w:sz w:val="18"/>
          <w:szCs w:val="18"/>
        </w:rPr>
        <w:t>Bond</w:t>
      </w:r>
      <w:r w:rsidRPr="0035441F">
        <w:rPr>
          <w:sz w:val="18"/>
          <w:szCs w:val="18"/>
        </w:rPr>
        <w:t xml:space="preserve"> was </w:t>
      </w:r>
      <w:bookmarkStart w:id="0" w:name="_Hlk113895501"/>
      <w:r w:rsidR="0080374F">
        <w:rPr>
          <w:sz w:val="18"/>
          <w:szCs w:val="18"/>
        </w:rPr>
        <w:t>5</w:t>
      </w:r>
      <w:r w:rsidRPr="0035441F">
        <w:rPr>
          <w:sz w:val="18"/>
          <w:szCs w:val="18"/>
        </w:rPr>
        <w:t xml:space="preserve"> </w:t>
      </w:r>
      <w:bookmarkEnd w:id="0"/>
      <w:r w:rsidR="0080374F">
        <w:rPr>
          <w:sz w:val="18"/>
          <w:szCs w:val="18"/>
        </w:rPr>
        <w:t>Matic</w:t>
      </w:r>
      <w:r w:rsidRPr="0035441F">
        <w:rPr>
          <w:sz w:val="18"/>
          <w:szCs w:val="18"/>
        </w:rPr>
        <w:t xml:space="preserve"> per </w:t>
      </w:r>
      <w:r w:rsidR="001C3414" w:rsidRPr="0035441F">
        <w:rPr>
          <w:sz w:val="18"/>
          <w:szCs w:val="18"/>
        </w:rPr>
        <w:t>Bond</w:t>
      </w:r>
      <w:r w:rsidRPr="0035441F">
        <w:rPr>
          <w:sz w:val="18"/>
          <w:szCs w:val="18"/>
        </w:rPr>
        <w:t xml:space="preserve"> at launch, but it then diminishes at a yearly rate of </w:t>
      </w:r>
      <w:r w:rsidR="00372438" w:rsidRPr="0035441F">
        <w:rPr>
          <w:sz w:val="18"/>
          <w:szCs w:val="18"/>
        </w:rPr>
        <w:t>1</w:t>
      </w:r>
      <w:r w:rsidRPr="0035441F">
        <w:rPr>
          <w:sz w:val="18"/>
          <w:szCs w:val="18"/>
        </w:rPr>
        <w:t>.</w:t>
      </w:r>
      <w:r w:rsidR="0035441F" w:rsidRPr="0035441F">
        <w:rPr>
          <w:sz w:val="18"/>
          <w:szCs w:val="18"/>
        </w:rPr>
        <w:t>95</w:t>
      </w:r>
      <w:r w:rsidRPr="0035441F">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864A" w14:textId="77777777" w:rsidR="00061D5C" w:rsidRDefault="00061D5C" w:rsidP="00AC60AB">
      <w:r>
        <w:separator/>
      </w:r>
    </w:p>
  </w:endnote>
  <w:endnote w:type="continuationSeparator" w:id="0">
    <w:p w14:paraId="1BA4E131" w14:textId="77777777" w:rsidR="00061D5C" w:rsidRDefault="00061D5C" w:rsidP="00AC60AB">
      <w:r>
        <w:continuationSeparator/>
      </w:r>
    </w:p>
  </w:endnote>
  <w:endnote w:type="continuationNotice" w:id="1">
    <w:p w14:paraId="3C954F4C" w14:textId="77777777" w:rsidR="00061D5C" w:rsidRDefault="0006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8240"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 xml:space="preserve">ETC </w:t>
    </w:r>
    <w:proofErr w:type="spellStart"/>
    <w:r w:rsidRPr="000F6EA4">
      <w:rPr>
        <w:rFonts w:ascii="Calibri" w:hAnsi="Calibri"/>
        <w:color w:val="000000" w:themeColor="text1"/>
        <w:sz w:val="15"/>
        <w:szCs w:val="21"/>
        <w:lang w:val="de-AT"/>
      </w:rPr>
      <w:t>Issuance</w:t>
    </w:r>
    <w:proofErr w:type="spellEnd"/>
    <w:r w:rsidRPr="000F6EA4">
      <w:rPr>
        <w:rFonts w:ascii="Calibri" w:hAnsi="Calibri"/>
        <w:color w:val="000000" w:themeColor="text1"/>
        <w:sz w:val="15"/>
        <w:szCs w:val="21"/>
        <w:lang w:val="de-AT"/>
      </w:rPr>
      <w:t xml:space="preserv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3132" w14:textId="77777777" w:rsidR="00061D5C" w:rsidRDefault="00061D5C" w:rsidP="00AC60AB">
      <w:r>
        <w:separator/>
      </w:r>
    </w:p>
  </w:footnote>
  <w:footnote w:type="continuationSeparator" w:id="0">
    <w:p w14:paraId="552197C3" w14:textId="77777777" w:rsidR="00061D5C" w:rsidRDefault="00061D5C" w:rsidP="00AC60AB">
      <w:r>
        <w:continuationSeparator/>
      </w:r>
    </w:p>
  </w:footnote>
  <w:footnote w:type="continuationNotice" w:id="1">
    <w:p w14:paraId="054F19E1" w14:textId="77777777" w:rsidR="00061D5C" w:rsidRDefault="00061D5C"/>
  </w:footnote>
  <w:footnote w:id="2">
    <w:p w14:paraId="4932FEE3" w14:textId="292D031E"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CA7E82">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pre-filled </w:t>
      </w:r>
      <w:r w:rsidR="00CE1D1D" w:rsidRPr="00CA7E82">
        <w:rPr>
          <w:rFonts w:asciiTheme="minorHAnsi" w:hAnsiTheme="minorHAnsi" w:cstheme="minorHAnsi"/>
          <w:color w:val="000000" w:themeColor="text1"/>
          <w:sz w:val="16"/>
          <w:szCs w:val="16"/>
        </w:rPr>
        <w:t>with “</w:t>
      </w:r>
      <w:r w:rsidR="0080374F">
        <w:rPr>
          <w:rFonts w:asciiTheme="minorHAnsi" w:hAnsiTheme="minorHAnsi" w:cstheme="minorHAnsi"/>
          <w:color w:val="000000" w:themeColor="text1"/>
          <w:sz w:val="16"/>
          <w:szCs w:val="16"/>
        </w:rPr>
        <w:t>MAT</w:t>
      </w:r>
      <w:r w:rsidR="00CE1D1D" w:rsidRPr="00CA7E82">
        <w:rPr>
          <w:rFonts w:asciiTheme="minorHAnsi" w:hAnsiTheme="minorHAnsi" w:cstheme="minorHAnsi"/>
          <w:color w:val="000000" w:themeColor="text1"/>
          <w:sz w:val="16"/>
          <w:szCs w:val="16"/>
        </w:rPr>
        <w:t xml:space="preserve">” for </w:t>
      </w:r>
      <w:r w:rsidR="00CA7E82" w:rsidRPr="00CA7E82">
        <w:rPr>
          <w:rFonts w:asciiTheme="minorHAnsi" w:hAnsiTheme="minorHAnsi" w:cstheme="minorHAnsi"/>
          <w:color w:val="000000" w:themeColor="text1"/>
          <w:sz w:val="16"/>
          <w:szCs w:val="16"/>
        </w:rPr>
        <w:t xml:space="preserve">ETC Group Physical </w:t>
      </w:r>
      <w:r w:rsidR="0080374F">
        <w:rPr>
          <w:rFonts w:asciiTheme="minorHAnsi" w:hAnsiTheme="minorHAnsi" w:cstheme="minorHAnsi"/>
          <w:color w:val="000000" w:themeColor="text1"/>
          <w:sz w:val="16"/>
          <w:szCs w:val="16"/>
        </w:rPr>
        <w:t>Polygon (Matic)</w:t>
      </w:r>
      <w:r w:rsidR="00CE1D1D" w:rsidRPr="00CA7E82">
        <w:rPr>
          <w:rFonts w:asciiTheme="minorHAnsi" w:hAnsiTheme="minorHAnsi" w:cstheme="minorHAnsi"/>
          <w:color w:val="000000" w:themeColor="text1"/>
          <w:sz w:val="16"/>
          <w:szCs w:val="16"/>
        </w:rPr>
        <w:t>. Fill the remaining</w:t>
      </w:r>
      <w:r w:rsidR="00CE1D1D" w:rsidRPr="00C21D96">
        <w:rPr>
          <w:rFonts w:asciiTheme="minorHAnsi" w:hAnsiTheme="minorHAnsi" w:cstheme="minorHAnsi"/>
          <w:color w:val="000000" w:themeColor="text1"/>
          <w:sz w:val="16"/>
          <w:szCs w:val="16"/>
        </w:rPr>
        <w:t xml:space="preserve">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(eg. subject line of emails) and – where applicable - as transfer reference for your FoP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1D5C"/>
    <w:rsid w:val="00066E73"/>
    <w:rsid w:val="00072462"/>
    <w:rsid w:val="00073B67"/>
    <w:rsid w:val="00077D87"/>
    <w:rsid w:val="00082184"/>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5E98"/>
    <w:rsid w:val="000C1E2F"/>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667C"/>
    <w:rsid w:val="001472B6"/>
    <w:rsid w:val="00154267"/>
    <w:rsid w:val="0015597F"/>
    <w:rsid w:val="00162B4F"/>
    <w:rsid w:val="00166E1C"/>
    <w:rsid w:val="00167CA9"/>
    <w:rsid w:val="0017228E"/>
    <w:rsid w:val="00176CC0"/>
    <w:rsid w:val="00196448"/>
    <w:rsid w:val="00197CAC"/>
    <w:rsid w:val="001A0123"/>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15095"/>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20D7"/>
    <w:rsid w:val="002D57E5"/>
    <w:rsid w:val="002E0B8A"/>
    <w:rsid w:val="002E4101"/>
    <w:rsid w:val="002F5144"/>
    <w:rsid w:val="00304460"/>
    <w:rsid w:val="00305ECB"/>
    <w:rsid w:val="00307E17"/>
    <w:rsid w:val="00314C75"/>
    <w:rsid w:val="00322607"/>
    <w:rsid w:val="00323725"/>
    <w:rsid w:val="00323752"/>
    <w:rsid w:val="00327312"/>
    <w:rsid w:val="00327797"/>
    <w:rsid w:val="0033115E"/>
    <w:rsid w:val="0035441F"/>
    <w:rsid w:val="00354881"/>
    <w:rsid w:val="0036552C"/>
    <w:rsid w:val="00372438"/>
    <w:rsid w:val="003766C9"/>
    <w:rsid w:val="003777EB"/>
    <w:rsid w:val="00384883"/>
    <w:rsid w:val="00392A7B"/>
    <w:rsid w:val="00396E1F"/>
    <w:rsid w:val="003A2347"/>
    <w:rsid w:val="003A26B1"/>
    <w:rsid w:val="003A51C7"/>
    <w:rsid w:val="003A5694"/>
    <w:rsid w:val="003A57AB"/>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3F72C2"/>
    <w:rsid w:val="00400029"/>
    <w:rsid w:val="00400E62"/>
    <w:rsid w:val="0040680F"/>
    <w:rsid w:val="00407DB6"/>
    <w:rsid w:val="004122B5"/>
    <w:rsid w:val="00414041"/>
    <w:rsid w:val="004171D3"/>
    <w:rsid w:val="00425592"/>
    <w:rsid w:val="0042566E"/>
    <w:rsid w:val="0043226B"/>
    <w:rsid w:val="00437831"/>
    <w:rsid w:val="00445564"/>
    <w:rsid w:val="004542EB"/>
    <w:rsid w:val="00454557"/>
    <w:rsid w:val="00456015"/>
    <w:rsid w:val="00463641"/>
    <w:rsid w:val="0046464F"/>
    <w:rsid w:val="00466E5D"/>
    <w:rsid w:val="0047536B"/>
    <w:rsid w:val="00481B6F"/>
    <w:rsid w:val="004825B7"/>
    <w:rsid w:val="00482709"/>
    <w:rsid w:val="004858FE"/>
    <w:rsid w:val="00485C5B"/>
    <w:rsid w:val="00486310"/>
    <w:rsid w:val="00487ACF"/>
    <w:rsid w:val="00490C2E"/>
    <w:rsid w:val="00496437"/>
    <w:rsid w:val="004A53F1"/>
    <w:rsid w:val="004B1E23"/>
    <w:rsid w:val="004B5D84"/>
    <w:rsid w:val="004B759F"/>
    <w:rsid w:val="004C0050"/>
    <w:rsid w:val="004C157E"/>
    <w:rsid w:val="004C3F38"/>
    <w:rsid w:val="004D08A9"/>
    <w:rsid w:val="004D60DC"/>
    <w:rsid w:val="004D7F4C"/>
    <w:rsid w:val="00503215"/>
    <w:rsid w:val="005133D6"/>
    <w:rsid w:val="00513941"/>
    <w:rsid w:val="00515CC3"/>
    <w:rsid w:val="00520E0C"/>
    <w:rsid w:val="005235BC"/>
    <w:rsid w:val="0052477E"/>
    <w:rsid w:val="005254FB"/>
    <w:rsid w:val="00531EA1"/>
    <w:rsid w:val="005320EF"/>
    <w:rsid w:val="0053623C"/>
    <w:rsid w:val="00541089"/>
    <w:rsid w:val="00544BA6"/>
    <w:rsid w:val="00546A16"/>
    <w:rsid w:val="00547DB1"/>
    <w:rsid w:val="00553047"/>
    <w:rsid w:val="005575B4"/>
    <w:rsid w:val="00566694"/>
    <w:rsid w:val="00574DD5"/>
    <w:rsid w:val="005770F7"/>
    <w:rsid w:val="005831A5"/>
    <w:rsid w:val="00583B2D"/>
    <w:rsid w:val="00584AE0"/>
    <w:rsid w:val="005858E2"/>
    <w:rsid w:val="005914DB"/>
    <w:rsid w:val="0059201E"/>
    <w:rsid w:val="00593232"/>
    <w:rsid w:val="005957E4"/>
    <w:rsid w:val="005A4660"/>
    <w:rsid w:val="005B0682"/>
    <w:rsid w:val="005B082B"/>
    <w:rsid w:val="005B1666"/>
    <w:rsid w:val="005B21C1"/>
    <w:rsid w:val="005B26E4"/>
    <w:rsid w:val="005B4E5D"/>
    <w:rsid w:val="005C2456"/>
    <w:rsid w:val="005C5ED0"/>
    <w:rsid w:val="005C6A64"/>
    <w:rsid w:val="005C7E6A"/>
    <w:rsid w:val="005D5388"/>
    <w:rsid w:val="005E1346"/>
    <w:rsid w:val="005E6F59"/>
    <w:rsid w:val="005F0F53"/>
    <w:rsid w:val="005F164F"/>
    <w:rsid w:val="005F795B"/>
    <w:rsid w:val="00601F2B"/>
    <w:rsid w:val="00602A8D"/>
    <w:rsid w:val="00604104"/>
    <w:rsid w:val="00607F52"/>
    <w:rsid w:val="00614152"/>
    <w:rsid w:val="006143A1"/>
    <w:rsid w:val="00615FA2"/>
    <w:rsid w:val="00617E67"/>
    <w:rsid w:val="0062075D"/>
    <w:rsid w:val="006225EE"/>
    <w:rsid w:val="00623183"/>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1799"/>
    <w:rsid w:val="006A32E8"/>
    <w:rsid w:val="006A4829"/>
    <w:rsid w:val="006A5611"/>
    <w:rsid w:val="006B08CD"/>
    <w:rsid w:val="006D1904"/>
    <w:rsid w:val="006E0F7F"/>
    <w:rsid w:val="006F438C"/>
    <w:rsid w:val="006F7954"/>
    <w:rsid w:val="007020D9"/>
    <w:rsid w:val="00702467"/>
    <w:rsid w:val="00705DA3"/>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141F"/>
    <w:rsid w:val="007D34EB"/>
    <w:rsid w:val="007D58DB"/>
    <w:rsid w:val="007D777E"/>
    <w:rsid w:val="007D7C72"/>
    <w:rsid w:val="007E0416"/>
    <w:rsid w:val="007E3128"/>
    <w:rsid w:val="007F20A8"/>
    <w:rsid w:val="007F75E1"/>
    <w:rsid w:val="00802B0B"/>
    <w:rsid w:val="0080374F"/>
    <w:rsid w:val="00803B40"/>
    <w:rsid w:val="00804401"/>
    <w:rsid w:val="00805AB1"/>
    <w:rsid w:val="00805BC5"/>
    <w:rsid w:val="008232AB"/>
    <w:rsid w:val="00823FF5"/>
    <w:rsid w:val="00825077"/>
    <w:rsid w:val="00825601"/>
    <w:rsid w:val="008258CD"/>
    <w:rsid w:val="00830C2F"/>
    <w:rsid w:val="00831606"/>
    <w:rsid w:val="00833DB0"/>
    <w:rsid w:val="00834092"/>
    <w:rsid w:val="008361C8"/>
    <w:rsid w:val="00840AA0"/>
    <w:rsid w:val="008411B4"/>
    <w:rsid w:val="00842967"/>
    <w:rsid w:val="0084314D"/>
    <w:rsid w:val="008434C7"/>
    <w:rsid w:val="00845702"/>
    <w:rsid w:val="008459DA"/>
    <w:rsid w:val="00845D53"/>
    <w:rsid w:val="00860834"/>
    <w:rsid w:val="00862ACD"/>
    <w:rsid w:val="00866799"/>
    <w:rsid w:val="0087426B"/>
    <w:rsid w:val="00880D29"/>
    <w:rsid w:val="00883C52"/>
    <w:rsid w:val="008918D6"/>
    <w:rsid w:val="008A3F66"/>
    <w:rsid w:val="008B0E72"/>
    <w:rsid w:val="008C2BF7"/>
    <w:rsid w:val="008C6228"/>
    <w:rsid w:val="008D24F5"/>
    <w:rsid w:val="008D456F"/>
    <w:rsid w:val="008E0C71"/>
    <w:rsid w:val="008E410F"/>
    <w:rsid w:val="008F0593"/>
    <w:rsid w:val="008F3713"/>
    <w:rsid w:val="008F3B43"/>
    <w:rsid w:val="008F6EFF"/>
    <w:rsid w:val="009035CD"/>
    <w:rsid w:val="00903C77"/>
    <w:rsid w:val="0090724E"/>
    <w:rsid w:val="0091124A"/>
    <w:rsid w:val="00911E47"/>
    <w:rsid w:val="009129EA"/>
    <w:rsid w:val="00915C04"/>
    <w:rsid w:val="00916F64"/>
    <w:rsid w:val="00917CEE"/>
    <w:rsid w:val="00920BF8"/>
    <w:rsid w:val="00932836"/>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70E0"/>
    <w:rsid w:val="009B2FE6"/>
    <w:rsid w:val="009B3F7E"/>
    <w:rsid w:val="009C04C7"/>
    <w:rsid w:val="009C325A"/>
    <w:rsid w:val="009D386B"/>
    <w:rsid w:val="009D7E6B"/>
    <w:rsid w:val="009E0C40"/>
    <w:rsid w:val="009E1281"/>
    <w:rsid w:val="009E3C34"/>
    <w:rsid w:val="009F4DD7"/>
    <w:rsid w:val="009F7628"/>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E1F4F"/>
    <w:rsid w:val="00AE2B82"/>
    <w:rsid w:val="00AE3532"/>
    <w:rsid w:val="00AE45CD"/>
    <w:rsid w:val="00AE4C53"/>
    <w:rsid w:val="00AE61FB"/>
    <w:rsid w:val="00AF14E9"/>
    <w:rsid w:val="00B01E7C"/>
    <w:rsid w:val="00B0405B"/>
    <w:rsid w:val="00B04561"/>
    <w:rsid w:val="00B06CD1"/>
    <w:rsid w:val="00B1634E"/>
    <w:rsid w:val="00B164D2"/>
    <w:rsid w:val="00B16C77"/>
    <w:rsid w:val="00B171E1"/>
    <w:rsid w:val="00B172D4"/>
    <w:rsid w:val="00B1755F"/>
    <w:rsid w:val="00B23E57"/>
    <w:rsid w:val="00B269E3"/>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1677"/>
    <w:rsid w:val="00B95C08"/>
    <w:rsid w:val="00B97393"/>
    <w:rsid w:val="00BA0A53"/>
    <w:rsid w:val="00BA4472"/>
    <w:rsid w:val="00BB0A40"/>
    <w:rsid w:val="00BB190D"/>
    <w:rsid w:val="00BB2027"/>
    <w:rsid w:val="00BB2C2A"/>
    <w:rsid w:val="00BB465F"/>
    <w:rsid w:val="00BB7E82"/>
    <w:rsid w:val="00BC63B6"/>
    <w:rsid w:val="00BC7F61"/>
    <w:rsid w:val="00BD48A2"/>
    <w:rsid w:val="00BE3E3E"/>
    <w:rsid w:val="00BF4A1C"/>
    <w:rsid w:val="00C0291F"/>
    <w:rsid w:val="00C039F4"/>
    <w:rsid w:val="00C0680B"/>
    <w:rsid w:val="00C117BA"/>
    <w:rsid w:val="00C1754A"/>
    <w:rsid w:val="00C21D96"/>
    <w:rsid w:val="00C22530"/>
    <w:rsid w:val="00C30CA8"/>
    <w:rsid w:val="00C31B9F"/>
    <w:rsid w:val="00C3620C"/>
    <w:rsid w:val="00C3702A"/>
    <w:rsid w:val="00C37AF7"/>
    <w:rsid w:val="00C56F75"/>
    <w:rsid w:val="00C5786D"/>
    <w:rsid w:val="00C64139"/>
    <w:rsid w:val="00C66538"/>
    <w:rsid w:val="00C6700A"/>
    <w:rsid w:val="00C77B21"/>
    <w:rsid w:val="00C9284B"/>
    <w:rsid w:val="00C93458"/>
    <w:rsid w:val="00C93E71"/>
    <w:rsid w:val="00CA467B"/>
    <w:rsid w:val="00CA638D"/>
    <w:rsid w:val="00CA6666"/>
    <w:rsid w:val="00CA6BF2"/>
    <w:rsid w:val="00CA7E82"/>
    <w:rsid w:val="00CB05A7"/>
    <w:rsid w:val="00CB3F1C"/>
    <w:rsid w:val="00CB5B10"/>
    <w:rsid w:val="00CB7E8D"/>
    <w:rsid w:val="00CC261F"/>
    <w:rsid w:val="00CC5EE4"/>
    <w:rsid w:val="00CC621B"/>
    <w:rsid w:val="00CC768E"/>
    <w:rsid w:val="00CD11D2"/>
    <w:rsid w:val="00CD121D"/>
    <w:rsid w:val="00CD4831"/>
    <w:rsid w:val="00CE1D1D"/>
    <w:rsid w:val="00CE52CF"/>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1741"/>
    <w:rsid w:val="00D41ABE"/>
    <w:rsid w:val="00D54E43"/>
    <w:rsid w:val="00D61A36"/>
    <w:rsid w:val="00D67D53"/>
    <w:rsid w:val="00D84056"/>
    <w:rsid w:val="00D85909"/>
    <w:rsid w:val="00D87AD2"/>
    <w:rsid w:val="00D9185E"/>
    <w:rsid w:val="00D92A35"/>
    <w:rsid w:val="00D96F06"/>
    <w:rsid w:val="00DA0B15"/>
    <w:rsid w:val="00DA1A3B"/>
    <w:rsid w:val="00DB3276"/>
    <w:rsid w:val="00DB5229"/>
    <w:rsid w:val="00DC204F"/>
    <w:rsid w:val="00DC25A9"/>
    <w:rsid w:val="00DC6870"/>
    <w:rsid w:val="00DC7062"/>
    <w:rsid w:val="00DD4774"/>
    <w:rsid w:val="00DE6EEC"/>
    <w:rsid w:val="00DF214D"/>
    <w:rsid w:val="00DF2689"/>
    <w:rsid w:val="00E0104F"/>
    <w:rsid w:val="00E04B0E"/>
    <w:rsid w:val="00E05030"/>
    <w:rsid w:val="00E07BC7"/>
    <w:rsid w:val="00E07D41"/>
    <w:rsid w:val="00E17BC3"/>
    <w:rsid w:val="00E203DE"/>
    <w:rsid w:val="00E2080D"/>
    <w:rsid w:val="00E25473"/>
    <w:rsid w:val="00E30916"/>
    <w:rsid w:val="00E40FC5"/>
    <w:rsid w:val="00E41F4B"/>
    <w:rsid w:val="00E4201C"/>
    <w:rsid w:val="00E4226C"/>
    <w:rsid w:val="00E46D75"/>
    <w:rsid w:val="00E53419"/>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D7C2A"/>
    <w:rsid w:val="00EE028D"/>
    <w:rsid w:val="00EF066F"/>
    <w:rsid w:val="00F007E5"/>
    <w:rsid w:val="00F02C67"/>
    <w:rsid w:val="00F110DD"/>
    <w:rsid w:val="00F11105"/>
    <w:rsid w:val="00F1404F"/>
    <w:rsid w:val="00F156AF"/>
    <w:rsid w:val="00F1630D"/>
    <w:rsid w:val="00F16605"/>
    <w:rsid w:val="00F2078C"/>
    <w:rsid w:val="00F24826"/>
    <w:rsid w:val="00F303C9"/>
    <w:rsid w:val="00F30706"/>
    <w:rsid w:val="00F34C89"/>
    <w:rsid w:val="00F35D58"/>
    <w:rsid w:val="00F523AC"/>
    <w:rsid w:val="00F55057"/>
    <w:rsid w:val="00F57F69"/>
    <w:rsid w:val="00F60EF4"/>
    <w:rsid w:val="00F6546B"/>
    <w:rsid w:val="00F6797C"/>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0917"/>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5" ma:contentTypeDescription="Create a new document." ma:contentTypeScope="" ma:versionID="43d03d300087058cb6f2557df7420a4d">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95ac2f64e1154620816228f0efc37f3d"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customXml/itemProps2.xml><?xml version="1.0" encoding="utf-8"?>
<ds:datastoreItem xmlns:ds="http://schemas.openxmlformats.org/officeDocument/2006/customXml" ds:itemID="{BDB0D4F3-1639-4DC2-B16E-4195C256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94971-B8E0-401F-B119-97FA53F9E196}">
  <ds:schemaRefs>
    <ds:schemaRef ds:uri="http://schemas.microsoft.com/sharepoint/v3/contenttype/forms"/>
  </ds:schemaRefs>
</ds:datastoreItem>
</file>

<file path=customXml/itemProps4.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5</cp:revision>
  <cp:lastPrinted>2022-09-08T12:01:00Z</cp:lastPrinted>
  <dcterms:created xsi:type="dcterms:W3CDTF">2023-08-29T11:10:00Z</dcterms:created>
  <dcterms:modified xsi:type="dcterms:W3CDTF">2023-08-29T12:37:00Z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