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2E8B" w14:textId="61234403" w:rsidR="008C1A14" w:rsidRPr="00CA74B8" w:rsidRDefault="008C1A14" w:rsidP="008C1A14">
      <w:pPr>
        <w:pageBreakBefore/>
        <w:spacing w:after="180" w:line="240" w:lineRule="auto"/>
        <w:jc w:val="center"/>
        <w:outlineLvl w:val="0"/>
        <w:rPr>
          <w:rFonts w:ascii="Times New Roman" w:eastAsia="Times New Roman" w:hAnsi="Times New Roman" w:cs="Times New Roman"/>
          <w:b/>
          <w:bCs/>
          <w:caps/>
          <w:color w:val="000000"/>
          <w:kern w:val="0"/>
          <w:sz w:val="20"/>
          <w:szCs w:val="20"/>
          <w:lang w:val="fr-FR" w:bidi="ar-SA"/>
          <w14:ligatures w14:val="none"/>
        </w:rPr>
      </w:pPr>
      <w:r w:rsidRPr="00CA74B8">
        <w:rPr>
          <w:rFonts w:ascii="Times New Roman" w:eastAsia="Times New Roman" w:hAnsi="Times New Roman" w:cs="Times New Roman"/>
          <w:b/>
          <w:bCs/>
          <w:caps/>
          <w:color w:val="000000"/>
          <w:kern w:val="0"/>
          <w:sz w:val="20"/>
          <w:szCs w:val="20"/>
          <w:lang w:val="fr-FR" w:bidi="ar-SA"/>
          <w14:ligatures w14:val="none"/>
        </w:rPr>
        <w:t>RÉSUMÉ PORTANT SUR L’ÉMISSION DES OBLIGATIONS</w:t>
      </w:r>
    </w:p>
    <w:p w14:paraId="7775CDF5" w14:textId="57EC50C6" w:rsidR="008C1A14" w:rsidRPr="00CA74B8" w:rsidRDefault="008C1A14" w:rsidP="008C1A14">
      <w:pPr>
        <w:keepNext/>
        <w:keepLines/>
        <w:numPr>
          <w:ilvl w:val="1"/>
          <w:numId w:val="1"/>
        </w:numPr>
        <w:spacing w:after="120" w:line="240" w:lineRule="auto"/>
        <w:ind w:right="-709"/>
        <w:jc w:val="both"/>
        <w:outlineLvl w:val="1"/>
        <w:rPr>
          <w:rFonts w:ascii="Times New Roman" w:eastAsia="Times New Roman" w:hAnsi="Times New Roman" w:cs="Times New Roman"/>
          <w:b/>
          <w:bCs/>
          <w:caps/>
          <w:color w:val="000000"/>
          <w:kern w:val="0"/>
          <w:sz w:val="20"/>
          <w:szCs w:val="20"/>
          <w:lang w:val="en-US" w:bidi="ar-SA"/>
          <w14:ligatures w14:val="none"/>
        </w:rPr>
      </w:pPr>
      <w:r w:rsidRPr="00CA74B8">
        <w:rPr>
          <w:rFonts w:ascii="Times New Roman" w:eastAsia="Times New Roman" w:hAnsi="Times New Roman" w:cs="Times New Roman"/>
          <w:b/>
          <w:bCs/>
          <w:caps/>
          <w:color w:val="000000"/>
          <w:kern w:val="0"/>
          <w:sz w:val="20"/>
          <w:szCs w:val="20"/>
          <w:lang w:val="en-US" w:bidi="ar-SA"/>
          <w14:ligatures w14:val="none"/>
        </w:rPr>
        <w:t>INTRODUCTION ET AVERTISSEMENTS</w:t>
      </w:r>
    </w:p>
    <w:p w14:paraId="710EF4B1" w14:textId="039762F0" w:rsidR="008C1A14" w:rsidRPr="00CA74B8" w:rsidRDefault="008C1A14"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Le présent résumé concerne l’offre au public d’obligations bénéficiant d’un nantissement sur des actifs (les « </w:t>
      </w:r>
      <w:r w:rsidRPr="00CA74B8">
        <w:rPr>
          <w:rFonts w:ascii="Times New Roman" w:eastAsia="MS Mincho" w:hAnsi="Times New Roman" w:cs="Times New Roman"/>
          <w:b/>
          <w:bCs/>
          <w:kern w:val="0"/>
          <w:sz w:val="20"/>
          <w:szCs w:val="20"/>
          <w:lang w:val="fr-FR" w:bidi="ar-SA"/>
          <w14:ligatures w14:val="none"/>
        </w:rPr>
        <w:t>Obligations</w:t>
      </w:r>
      <w:r w:rsidRPr="00CA74B8">
        <w:rPr>
          <w:rFonts w:ascii="Times New Roman" w:eastAsia="MS Mincho" w:hAnsi="Times New Roman" w:cs="Times New Roman"/>
          <w:kern w:val="0"/>
          <w:sz w:val="20"/>
          <w:szCs w:val="20"/>
          <w:lang w:val="fr-FR" w:bidi="ar-SA"/>
          <w14:ligatures w14:val="none"/>
        </w:rPr>
        <w:t xml:space="preserve"> ») en Autriche, Tchéquie, Danemark, Allemagne, Irlande, Italie, Luxembourg, Malte, Norvège, Pays-Bas, Finlande, France, Pologne, Espagne, Suède et Suisse et l’admission des Obligations à la négociation sur le marché réglementé (</w:t>
      </w:r>
      <w:proofErr w:type="spellStart"/>
      <w:r w:rsidRPr="00CA74B8">
        <w:rPr>
          <w:rFonts w:ascii="Times New Roman" w:eastAsia="MS Mincho" w:hAnsi="Times New Roman" w:cs="Times New Roman"/>
          <w:i/>
          <w:iCs/>
          <w:kern w:val="0"/>
          <w:sz w:val="20"/>
          <w:szCs w:val="20"/>
          <w:lang w:val="fr-FR" w:bidi="ar-SA"/>
          <w14:ligatures w14:val="none"/>
        </w:rPr>
        <w:t>regulierter</w:t>
      </w:r>
      <w:proofErr w:type="spellEnd"/>
      <w:r w:rsidRPr="00CA74B8">
        <w:rPr>
          <w:rFonts w:ascii="Times New Roman" w:eastAsia="MS Mincho" w:hAnsi="Times New Roman" w:cs="Times New Roman"/>
          <w:i/>
          <w:iCs/>
          <w:kern w:val="0"/>
          <w:sz w:val="20"/>
          <w:szCs w:val="20"/>
          <w:lang w:val="fr-FR" w:bidi="ar-SA"/>
          <w14:ligatures w14:val="none"/>
        </w:rPr>
        <w:t xml:space="preserve"> Markt</w:t>
      </w:r>
      <w:r w:rsidRPr="00CA74B8">
        <w:rPr>
          <w:rFonts w:ascii="Times New Roman" w:eastAsia="MS Mincho" w:hAnsi="Times New Roman" w:cs="Times New Roman"/>
          <w:kern w:val="0"/>
          <w:sz w:val="20"/>
          <w:szCs w:val="20"/>
          <w:lang w:val="fr-FR" w:bidi="ar-SA"/>
          <w14:ligatures w14:val="none"/>
        </w:rPr>
        <w:t xml:space="preserve">) de la Bourse de Francfort et de la Bourse suisse (SIX </w:t>
      </w:r>
      <w:proofErr w:type="spellStart"/>
      <w:r w:rsidRPr="00CA74B8">
        <w:rPr>
          <w:rFonts w:ascii="Times New Roman" w:eastAsia="MS Mincho" w:hAnsi="Times New Roman" w:cs="Times New Roman"/>
          <w:kern w:val="0"/>
          <w:sz w:val="20"/>
          <w:szCs w:val="20"/>
          <w:lang w:val="fr-FR" w:bidi="ar-SA"/>
          <w14:ligatures w14:val="none"/>
        </w:rPr>
        <w:t>Swiss</w:t>
      </w:r>
      <w:proofErr w:type="spellEnd"/>
      <w:r w:rsidRPr="00CA74B8">
        <w:rPr>
          <w:rFonts w:ascii="Times New Roman" w:eastAsia="MS Mincho" w:hAnsi="Times New Roman" w:cs="Times New Roman"/>
          <w:kern w:val="0"/>
          <w:sz w:val="20"/>
          <w:szCs w:val="20"/>
          <w:lang w:val="fr-FR" w:bidi="ar-SA"/>
          <w14:ligatures w14:val="none"/>
        </w:rPr>
        <w:t xml:space="preserve"> Exchange). Le numéro international d’identification (« ISIN ») des Obligations est DE000A3G90G9.</w:t>
      </w:r>
    </w:p>
    <w:p w14:paraId="2FA37B3C" w14:textId="556B653F" w:rsidR="008C1A14" w:rsidRPr="00CA74B8" w:rsidRDefault="008C1A14"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La date d’approbation du prospectus de base est le 21 novembre 2023 (le « </w:t>
      </w:r>
      <w:r w:rsidRPr="00CA74B8">
        <w:rPr>
          <w:rFonts w:ascii="Times New Roman" w:eastAsia="MS Mincho" w:hAnsi="Times New Roman" w:cs="Times New Roman"/>
          <w:b/>
          <w:bCs/>
          <w:kern w:val="0"/>
          <w:sz w:val="20"/>
          <w:szCs w:val="20"/>
          <w:lang w:val="fr-FR" w:bidi="ar-SA"/>
          <w14:ligatures w14:val="none"/>
        </w:rPr>
        <w:t>Prospectus de Base</w:t>
      </w:r>
      <w:r w:rsidRPr="00CA74B8">
        <w:rPr>
          <w:rFonts w:ascii="Times New Roman" w:eastAsia="MS Mincho" w:hAnsi="Times New Roman" w:cs="Times New Roman"/>
          <w:kern w:val="0"/>
          <w:sz w:val="20"/>
          <w:szCs w:val="20"/>
          <w:lang w:val="fr-FR" w:bidi="ar-SA"/>
          <w14:ligatures w14:val="none"/>
        </w:rPr>
        <w:t xml:space="preserve"> ») et il a été approuvé par le </w:t>
      </w:r>
      <w:proofErr w:type="spellStart"/>
      <w:r w:rsidRPr="00CA74B8">
        <w:rPr>
          <w:rFonts w:ascii="Times New Roman" w:eastAsia="MS Mincho" w:hAnsi="Times New Roman" w:cs="Times New Roman"/>
          <w:i/>
          <w:iCs/>
          <w:kern w:val="0"/>
          <w:sz w:val="20"/>
          <w:szCs w:val="20"/>
          <w:lang w:val="fr-FR" w:bidi="ar-SA"/>
          <w14:ligatures w14:val="none"/>
        </w:rPr>
        <w:t>Bundesanstalt</w:t>
      </w:r>
      <w:proofErr w:type="spellEnd"/>
      <w:r w:rsidRPr="00CA74B8">
        <w:rPr>
          <w:rFonts w:ascii="Times New Roman" w:eastAsia="MS Mincho" w:hAnsi="Times New Roman" w:cs="Times New Roman"/>
          <w:i/>
          <w:iCs/>
          <w:kern w:val="0"/>
          <w:sz w:val="20"/>
          <w:szCs w:val="20"/>
          <w:lang w:val="fr-FR" w:bidi="ar-SA"/>
          <w14:ligatures w14:val="none"/>
        </w:rPr>
        <w:t xml:space="preserve"> </w:t>
      </w:r>
      <w:proofErr w:type="spellStart"/>
      <w:r w:rsidRPr="00CA74B8">
        <w:rPr>
          <w:rFonts w:ascii="Times New Roman" w:eastAsia="MS Mincho" w:hAnsi="Times New Roman" w:cs="Times New Roman"/>
          <w:i/>
          <w:iCs/>
          <w:kern w:val="0"/>
          <w:sz w:val="20"/>
          <w:szCs w:val="20"/>
          <w:lang w:val="fr-FR" w:bidi="ar-SA"/>
          <w14:ligatures w14:val="none"/>
        </w:rPr>
        <w:t>für</w:t>
      </w:r>
      <w:proofErr w:type="spellEnd"/>
      <w:r w:rsidRPr="00CA74B8">
        <w:rPr>
          <w:rFonts w:ascii="Times New Roman" w:eastAsia="MS Mincho" w:hAnsi="Times New Roman" w:cs="Times New Roman"/>
          <w:i/>
          <w:iCs/>
          <w:kern w:val="0"/>
          <w:sz w:val="20"/>
          <w:szCs w:val="20"/>
          <w:lang w:val="fr-FR" w:bidi="ar-SA"/>
          <w14:ligatures w14:val="none"/>
        </w:rPr>
        <w:t xml:space="preserve"> </w:t>
      </w:r>
      <w:proofErr w:type="spellStart"/>
      <w:r w:rsidRPr="00CA74B8">
        <w:rPr>
          <w:rFonts w:ascii="Times New Roman" w:eastAsia="MS Mincho" w:hAnsi="Times New Roman" w:cs="Times New Roman"/>
          <w:i/>
          <w:iCs/>
          <w:kern w:val="0"/>
          <w:sz w:val="20"/>
          <w:szCs w:val="20"/>
          <w:lang w:val="fr-FR" w:bidi="ar-SA"/>
          <w14:ligatures w14:val="none"/>
        </w:rPr>
        <w:t>Finanzdienstleistungsaufsicht</w:t>
      </w:r>
      <w:proofErr w:type="spellEnd"/>
      <w:r w:rsidRPr="00CA74B8">
        <w:rPr>
          <w:rFonts w:ascii="Times New Roman" w:eastAsia="MS Mincho" w:hAnsi="Times New Roman" w:cs="Times New Roman"/>
          <w:kern w:val="0"/>
          <w:sz w:val="20"/>
          <w:szCs w:val="20"/>
          <w:lang w:val="fr-FR" w:bidi="ar-SA"/>
          <w14:ligatures w14:val="none"/>
        </w:rPr>
        <w:t xml:space="preserve"> (« </w:t>
      </w:r>
      <w:proofErr w:type="spellStart"/>
      <w:r w:rsidRPr="00CA74B8">
        <w:rPr>
          <w:rFonts w:ascii="Times New Roman" w:eastAsia="MS Mincho" w:hAnsi="Times New Roman" w:cs="Times New Roman"/>
          <w:kern w:val="0"/>
          <w:sz w:val="20"/>
          <w:szCs w:val="20"/>
          <w:lang w:val="fr-FR" w:bidi="ar-SA"/>
          <w14:ligatures w14:val="none"/>
        </w:rPr>
        <w:t>BaFin</w:t>
      </w:r>
      <w:proofErr w:type="spellEnd"/>
      <w:r w:rsidRPr="00CA74B8">
        <w:rPr>
          <w:rFonts w:ascii="Times New Roman" w:eastAsia="MS Mincho" w:hAnsi="Times New Roman" w:cs="Times New Roman"/>
          <w:kern w:val="0"/>
          <w:sz w:val="20"/>
          <w:szCs w:val="20"/>
          <w:lang w:val="fr-FR" w:bidi="ar-SA"/>
          <w14:ligatures w14:val="none"/>
        </w:rPr>
        <w:t xml:space="preserve"> »), Marie-Curie-</w:t>
      </w:r>
      <w:proofErr w:type="spellStart"/>
      <w:r w:rsidRPr="00CA74B8">
        <w:rPr>
          <w:rFonts w:ascii="Times New Roman" w:eastAsia="MS Mincho" w:hAnsi="Times New Roman" w:cs="Times New Roman"/>
          <w:kern w:val="0"/>
          <w:sz w:val="20"/>
          <w:szCs w:val="20"/>
          <w:lang w:val="fr-FR" w:bidi="ar-SA"/>
          <w14:ligatures w14:val="none"/>
        </w:rPr>
        <w:t>Str</w:t>
      </w:r>
      <w:proofErr w:type="spellEnd"/>
      <w:r w:rsidRPr="00CA74B8">
        <w:rPr>
          <w:rFonts w:ascii="Times New Roman" w:eastAsia="MS Mincho" w:hAnsi="Times New Roman" w:cs="Times New Roman"/>
          <w:kern w:val="0"/>
          <w:sz w:val="20"/>
          <w:szCs w:val="20"/>
          <w:lang w:val="fr-FR" w:bidi="ar-SA"/>
          <w14:ligatures w14:val="none"/>
        </w:rPr>
        <w:t xml:space="preserve">. 24-28, 60439 Francfort-sur-le-Main, Allemagne, Courriel : poststelle@bafin.de, Téléphone : +49 (0)228 4108-0. Ce résumé doit être lu comme une introduction au Prospectus de Base. Toute décision d’investir dans les Obligations de l’Émetteur doit être fondée sur l’examen du Prospectus de Base dans son ensemble par l’investisseur. Les investisseurs pourraient perdre tout ou partie de leur capital investi dans les Obligations de l’Émetteur. ETC </w:t>
      </w:r>
      <w:proofErr w:type="spellStart"/>
      <w:r w:rsidRPr="00CA74B8">
        <w:rPr>
          <w:rFonts w:ascii="Times New Roman" w:eastAsia="MS Mincho" w:hAnsi="Times New Roman" w:cs="Times New Roman"/>
          <w:kern w:val="0"/>
          <w:sz w:val="20"/>
          <w:szCs w:val="20"/>
          <w:lang w:val="fr-FR" w:bidi="ar-SA"/>
          <w14:ligatures w14:val="none"/>
        </w:rPr>
        <w:t>Issuance</w:t>
      </w:r>
      <w:proofErr w:type="spellEnd"/>
      <w:r w:rsidRPr="00CA74B8">
        <w:rPr>
          <w:rFonts w:ascii="Times New Roman" w:eastAsia="MS Mincho" w:hAnsi="Times New Roman" w:cs="Times New Roman"/>
          <w:kern w:val="0"/>
          <w:sz w:val="20"/>
          <w:szCs w:val="20"/>
          <w:lang w:val="fr-FR" w:bidi="ar-SA"/>
          <w14:ligatures w14:val="none"/>
        </w:rPr>
        <w:t xml:space="preserve"> </w:t>
      </w:r>
      <w:proofErr w:type="spellStart"/>
      <w:r w:rsidRPr="00CA74B8">
        <w:rPr>
          <w:rFonts w:ascii="Times New Roman" w:eastAsia="MS Mincho" w:hAnsi="Times New Roman" w:cs="Times New Roman"/>
          <w:kern w:val="0"/>
          <w:sz w:val="20"/>
          <w:szCs w:val="20"/>
          <w:lang w:val="fr-FR" w:bidi="ar-SA"/>
          <w14:ligatures w14:val="none"/>
        </w:rPr>
        <w:t>GmbH</w:t>
      </w:r>
      <w:proofErr w:type="spellEnd"/>
      <w:r w:rsidRPr="00CA74B8">
        <w:rPr>
          <w:rFonts w:ascii="Times New Roman" w:eastAsia="MS Mincho" w:hAnsi="Times New Roman" w:cs="Times New Roman"/>
          <w:kern w:val="0"/>
          <w:sz w:val="20"/>
          <w:szCs w:val="20"/>
          <w:lang w:val="fr-FR" w:bidi="ar-SA"/>
          <w14:ligatures w14:val="none"/>
        </w:rPr>
        <w:t xml:space="preserve">, dont le siège social est situé à </w:t>
      </w:r>
      <w:proofErr w:type="spellStart"/>
      <w:r w:rsidRPr="00CA74B8">
        <w:rPr>
          <w:rFonts w:ascii="Times New Roman" w:eastAsia="MS Mincho" w:hAnsi="Times New Roman" w:cs="Times New Roman"/>
          <w:kern w:val="0"/>
          <w:sz w:val="20"/>
          <w:szCs w:val="20"/>
          <w:lang w:val="fr-FR" w:bidi="ar-SA"/>
          <w14:ligatures w14:val="none"/>
        </w:rPr>
        <w:t>Holzhecke</w:t>
      </w:r>
      <w:proofErr w:type="spellEnd"/>
      <w:r w:rsidRPr="00CA74B8">
        <w:rPr>
          <w:rFonts w:ascii="Times New Roman" w:eastAsia="MS Mincho" w:hAnsi="Times New Roman" w:cs="Times New Roman"/>
          <w:kern w:val="0"/>
          <w:sz w:val="20"/>
          <w:szCs w:val="20"/>
          <w:lang w:val="fr-FR" w:bidi="ar-SA"/>
          <w14:ligatures w14:val="none"/>
        </w:rPr>
        <w:t xml:space="preserve"> 13, 60528 Francfort-sur-le-Main, Allemagne (l</w:t>
      </w:r>
      <w:proofErr w:type="gramStart"/>
      <w:r w:rsidRPr="00CA74B8">
        <w:rPr>
          <w:rFonts w:ascii="Times New Roman" w:eastAsia="MS Mincho" w:hAnsi="Times New Roman" w:cs="Times New Roman"/>
          <w:kern w:val="0"/>
          <w:sz w:val="20"/>
          <w:szCs w:val="20"/>
          <w:lang w:val="fr-FR" w:bidi="ar-SA"/>
          <w14:ligatures w14:val="none"/>
        </w:rPr>
        <w:t>’«</w:t>
      </w:r>
      <w:proofErr w:type="gramEnd"/>
      <w:r w:rsidRPr="00CA74B8">
        <w:rPr>
          <w:rFonts w:ascii="Times New Roman" w:eastAsia="MS Mincho" w:hAnsi="Times New Roman" w:cs="Times New Roman"/>
          <w:kern w:val="0"/>
          <w:sz w:val="20"/>
          <w:szCs w:val="20"/>
          <w:lang w:val="fr-FR" w:bidi="ar-SA"/>
          <w14:ligatures w14:val="none"/>
        </w:rPr>
        <w:t xml:space="preserve"> </w:t>
      </w:r>
      <w:r w:rsidRPr="00CA74B8">
        <w:rPr>
          <w:rFonts w:ascii="Times New Roman" w:eastAsia="MS Mincho" w:hAnsi="Times New Roman" w:cs="Times New Roman"/>
          <w:b/>
          <w:bCs/>
          <w:kern w:val="0"/>
          <w:sz w:val="20"/>
          <w:szCs w:val="20"/>
          <w:lang w:val="fr-FR" w:bidi="ar-SA"/>
          <w14:ligatures w14:val="none"/>
        </w:rPr>
        <w:t>Émetteur</w:t>
      </w:r>
      <w:r w:rsidRPr="00CA74B8">
        <w:rPr>
          <w:rFonts w:ascii="Times New Roman" w:eastAsia="MS Mincho" w:hAnsi="Times New Roman" w:cs="Times New Roman"/>
          <w:kern w:val="0"/>
          <w:sz w:val="20"/>
          <w:szCs w:val="20"/>
          <w:lang w:val="fr-FR" w:bidi="ar-SA"/>
          <w14:ligatures w14:val="none"/>
        </w:rPr>
        <w:t xml:space="preserve"> ») est responsable des informations contenues dans ce résumé et sa traduction allemande. La responsabilité de l’Émetteur ne peut être engagée que si le résumé est trompeur, inexact ou incohérent lorsqu’il est lu conjointement avec les autres parties du Prospectus de Base, ou s’il ne fournit pas, lorsqu’il est lu conjointement avec les autres parties du Prospectus de Base, les informations clés pour permettre aux investisseurs de prendre leur décision d’investissement dans ces titres. Dans le cas où une réclamation relative aux informations contenues dans le Prospectus de Base est portée devant un tribunal, l’investisseur intentant l’action pourrait, en application de la législation nationale des États membres de l’Espace économique européen, être tenu de prendre en charge les frais de traduction du Prospectus de Base avant l’engagement de toute procédure judiciaire. </w:t>
      </w:r>
    </w:p>
    <w:p w14:paraId="5BF96AC6" w14:textId="77777777" w:rsidR="008C1A14" w:rsidRPr="00CA74B8" w:rsidRDefault="008C1A14"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L’identifiant d’entité juridique de l’Émetteur (« </w:t>
      </w:r>
      <w:r w:rsidRPr="00CA74B8">
        <w:rPr>
          <w:rFonts w:ascii="Times New Roman" w:eastAsia="MS Mincho" w:hAnsi="Times New Roman" w:cs="Times New Roman"/>
          <w:b/>
          <w:bCs/>
          <w:kern w:val="0"/>
          <w:sz w:val="20"/>
          <w:szCs w:val="20"/>
          <w:lang w:val="fr-FR" w:bidi="ar-SA"/>
          <w14:ligatures w14:val="none"/>
        </w:rPr>
        <w:t>IEJ</w:t>
      </w:r>
      <w:r w:rsidRPr="00CA74B8">
        <w:rPr>
          <w:rFonts w:ascii="Times New Roman" w:eastAsia="MS Mincho" w:hAnsi="Times New Roman" w:cs="Times New Roman"/>
          <w:kern w:val="0"/>
          <w:sz w:val="20"/>
          <w:szCs w:val="20"/>
          <w:lang w:val="fr-FR" w:bidi="ar-SA"/>
          <w14:ligatures w14:val="none"/>
        </w:rPr>
        <w:t xml:space="preserve"> ») est le 875500BTZPKWM4X8R658. </w:t>
      </w:r>
    </w:p>
    <w:p w14:paraId="2F650B80" w14:textId="036F32B8" w:rsidR="008C1A14" w:rsidRPr="00CA74B8" w:rsidRDefault="008C1A14" w:rsidP="008C1A14">
      <w:pPr>
        <w:spacing w:after="180" w:line="240" w:lineRule="auto"/>
        <w:jc w:val="both"/>
        <w:rPr>
          <w:rFonts w:ascii="Times New Roman" w:eastAsia="MS Mincho" w:hAnsi="Times New Roman" w:cs="Times New Roman"/>
          <w:kern w:val="0"/>
          <w:sz w:val="20"/>
          <w:szCs w:val="20"/>
          <w:lang w:val="fr-FR" w:bidi="ar-SA"/>
          <w14:ligatures w14:val="none"/>
        </w:rPr>
      </w:pPr>
      <w:proofErr w:type="spellStart"/>
      <w:r w:rsidRPr="00CA74B8">
        <w:rPr>
          <w:rFonts w:ascii="Times New Roman" w:eastAsia="MS Mincho" w:hAnsi="Times New Roman" w:cs="Times New Roman"/>
          <w:kern w:val="0"/>
          <w:sz w:val="20"/>
          <w:szCs w:val="20"/>
          <w:lang w:val="fr-FR" w:bidi="ar-SA"/>
          <w14:ligatures w14:val="none"/>
        </w:rPr>
        <w:t>Steubing</w:t>
      </w:r>
      <w:proofErr w:type="spellEnd"/>
      <w:r w:rsidRPr="00CA74B8">
        <w:rPr>
          <w:rFonts w:ascii="Times New Roman" w:eastAsia="MS Mincho" w:hAnsi="Times New Roman" w:cs="Times New Roman"/>
          <w:kern w:val="0"/>
          <w:sz w:val="20"/>
          <w:szCs w:val="20"/>
          <w:lang w:val="fr-FR" w:bidi="ar-SA"/>
          <w14:ligatures w14:val="none"/>
        </w:rPr>
        <w:t xml:space="preserve"> AG </w:t>
      </w:r>
      <w:proofErr w:type="spellStart"/>
      <w:r w:rsidRPr="00CA74B8">
        <w:rPr>
          <w:rFonts w:ascii="Times New Roman" w:eastAsia="MS Mincho" w:hAnsi="Times New Roman" w:cs="Times New Roman"/>
          <w:kern w:val="0"/>
          <w:sz w:val="20"/>
          <w:szCs w:val="20"/>
          <w:lang w:val="fr-FR" w:bidi="ar-SA"/>
          <w14:ligatures w14:val="none"/>
        </w:rPr>
        <w:t>Wertpapierhandelsbank</w:t>
      </w:r>
      <w:proofErr w:type="spellEnd"/>
      <w:r w:rsidRPr="00CA74B8">
        <w:rPr>
          <w:rFonts w:ascii="Times New Roman" w:eastAsia="MS Mincho" w:hAnsi="Times New Roman" w:cs="Times New Roman"/>
          <w:kern w:val="0"/>
          <w:sz w:val="20"/>
          <w:szCs w:val="20"/>
          <w:lang w:val="fr-FR" w:bidi="ar-SA"/>
          <w14:ligatures w14:val="none"/>
        </w:rPr>
        <w:t xml:space="preserve">, dont le siège social est sis </w:t>
      </w:r>
      <w:proofErr w:type="spellStart"/>
      <w:r w:rsidRPr="00CA74B8">
        <w:rPr>
          <w:rFonts w:ascii="Times New Roman" w:eastAsia="MS Mincho" w:hAnsi="Times New Roman" w:cs="Times New Roman"/>
          <w:kern w:val="0"/>
          <w:sz w:val="20"/>
          <w:szCs w:val="20"/>
          <w:lang w:val="fr-FR" w:bidi="ar-SA"/>
          <w14:ligatures w14:val="none"/>
        </w:rPr>
        <w:t>Goethestrasse</w:t>
      </w:r>
      <w:proofErr w:type="spellEnd"/>
      <w:r w:rsidRPr="00CA74B8">
        <w:rPr>
          <w:rFonts w:ascii="Times New Roman" w:eastAsia="MS Mincho" w:hAnsi="Times New Roman" w:cs="Times New Roman"/>
          <w:kern w:val="0"/>
          <w:sz w:val="20"/>
          <w:szCs w:val="20"/>
          <w:lang w:val="fr-FR" w:bidi="ar-SA"/>
          <w14:ligatures w14:val="none"/>
        </w:rPr>
        <w:t xml:space="preserve"> 29, 60313 Francfort-sur-le-Main, Allemagne, et dont l’identifiant d’entité juridique (IEJ) est 39120043LUI1WJS8IX30, a </w:t>
      </w:r>
      <w:proofErr w:type="gramStart"/>
      <w:r w:rsidRPr="00CA74B8">
        <w:rPr>
          <w:rFonts w:ascii="Times New Roman" w:eastAsia="MS Mincho" w:hAnsi="Times New Roman" w:cs="Times New Roman"/>
          <w:kern w:val="0"/>
          <w:sz w:val="20"/>
          <w:szCs w:val="20"/>
          <w:lang w:val="fr-FR" w:bidi="ar-SA"/>
          <w14:ligatures w14:val="none"/>
        </w:rPr>
        <w:t>demandé à ce</w:t>
      </w:r>
      <w:proofErr w:type="gramEnd"/>
      <w:r w:rsidRPr="00CA74B8">
        <w:rPr>
          <w:rFonts w:ascii="Times New Roman" w:eastAsia="MS Mincho" w:hAnsi="Times New Roman" w:cs="Times New Roman"/>
          <w:kern w:val="0"/>
          <w:sz w:val="20"/>
          <w:szCs w:val="20"/>
          <w:lang w:val="fr-FR" w:bidi="ar-SA"/>
          <w14:ligatures w14:val="none"/>
        </w:rPr>
        <w:t xml:space="preserve"> que les Obligations soient autorisées à être négociées sur le marché réglementé.</w:t>
      </w:r>
    </w:p>
    <w:p w14:paraId="31ECDE31" w14:textId="1B51A257" w:rsidR="008C1A14" w:rsidRPr="00CA74B8" w:rsidRDefault="008C1A14" w:rsidP="008C1A14">
      <w:pPr>
        <w:keepNext/>
        <w:keepLines/>
        <w:numPr>
          <w:ilvl w:val="1"/>
          <w:numId w:val="1"/>
        </w:numPr>
        <w:tabs>
          <w:tab w:val="num" w:pos="720"/>
        </w:tabs>
        <w:spacing w:after="180" w:line="240" w:lineRule="auto"/>
        <w:ind w:left="720"/>
        <w:jc w:val="both"/>
        <w:outlineLvl w:val="1"/>
        <w:rPr>
          <w:rFonts w:ascii="Times New Roman" w:eastAsia="Times New Roman" w:hAnsi="Times New Roman" w:cs="Times New Roman"/>
          <w:b/>
          <w:bCs/>
          <w:caps/>
          <w:color w:val="000000"/>
          <w:kern w:val="0"/>
          <w:sz w:val="20"/>
          <w:szCs w:val="20"/>
          <w:lang w:val="en-US" w:bidi="ar-SA"/>
          <w14:ligatures w14:val="none"/>
        </w:rPr>
      </w:pPr>
      <w:r w:rsidRPr="00CA74B8">
        <w:rPr>
          <w:rFonts w:ascii="Times New Roman" w:eastAsia="Times New Roman" w:hAnsi="Times New Roman" w:cs="Times New Roman"/>
          <w:b/>
          <w:bCs/>
          <w:caps/>
          <w:color w:val="000000"/>
          <w:kern w:val="0"/>
          <w:sz w:val="20"/>
          <w:szCs w:val="20"/>
          <w:lang w:val="en-US" w:bidi="ar-SA"/>
          <w14:ligatures w14:val="none"/>
        </w:rPr>
        <w:t>INFORMATIONS CLÉS SUR L’ÉMETTEUR</w:t>
      </w:r>
    </w:p>
    <w:p w14:paraId="6714B997" w14:textId="45B0003A" w:rsidR="008C1A14" w:rsidRPr="00CA74B8" w:rsidRDefault="008C1A14" w:rsidP="008C1A1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Qui est l’Émetteur des titres ?</w:t>
      </w:r>
    </w:p>
    <w:p w14:paraId="4E3B60F5" w14:textId="49577DA4" w:rsidR="008C1A14" w:rsidRPr="00CA74B8" w:rsidRDefault="008C1A14" w:rsidP="008C1A14">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La dénomination sociale et commerciale de l’Émetteur est ETC </w:t>
      </w:r>
      <w:proofErr w:type="spellStart"/>
      <w:r w:rsidRPr="00CA74B8">
        <w:rPr>
          <w:rFonts w:ascii="Times New Roman" w:eastAsia="MS Mincho" w:hAnsi="Times New Roman" w:cs="Times New Roman"/>
          <w:kern w:val="0"/>
          <w:sz w:val="20"/>
          <w:szCs w:val="20"/>
          <w:lang w:val="fr-FR" w:bidi="ar-SA"/>
          <w14:ligatures w14:val="none"/>
        </w:rPr>
        <w:t>Issuance</w:t>
      </w:r>
      <w:proofErr w:type="spellEnd"/>
      <w:r w:rsidRPr="00CA74B8">
        <w:rPr>
          <w:rFonts w:ascii="Times New Roman" w:eastAsia="MS Mincho" w:hAnsi="Times New Roman" w:cs="Times New Roman"/>
          <w:kern w:val="0"/>
          <w:sz w:val="20"/>
          <w:szCs w:val="20"/>
          <w:lang w:val="fr-FR" w:bidi="ar-SA"/>
          <w14:ligatures w14:val="none"/>
        </w:rPr>
        <w:t xml:space="preserve"> </w:t>
      </w:r>
      <w:proofErr w:type="spellStart"/>
      <w:r w:rsidRPr="00CA74B8">
        <w:rPr>
          <w:rFonts w:ascii="Times New Roman" w:eastAsia="MS Mincho" w:hAnsi="Times New Roman" w:cs="Times New Roman"/>
          <w:kern w:val="0"/>
          <w:sz w:val="20"/>
          <w:szCs w:val="20"/>
          <w:lang w:val="fr-FR" w:bidi="ar-SA"/>
          <w14:ligatures w14:val="none"/>
        </w:rPr>
        <w:t>GmbH</w:t>
      </w:r>
      <w:proofErr w:type="spellEnd"/>
      <w:r w:rsidRPr="00CA74B8">
        <w:rPr>
          <w:rFonts w:ascii="Times New Roman" w:eastAsia="MS Mincho" w:hAnsi="Times New Roman" w:cs="Times New Roman"/>
          <w:kern w:val="0"/>
          <w:sz w:val="20"/>
          <w:szCs w:val="20"/>
          <w:lang w:val="fr-FR" w:bidi="ar-SA"/>
          <w14:ligatures w14:val="none"/>
        </w:rPr>
        <w:t xml:space="preserve">. Le numéro IEJ de </w:t>
      </w:r>
      <w:proofErr w:type="gramStart"/>
      <w:r w:rsidRPr="00CA74B8">
        <w:rPr>
          <w:rFonts w:ascii="Times New Roman" w:eastAsia="MS Mincho" w:hAnsi="Times New Roman" w:cs="Times New Roman"/>
          <w:kern w:val="0"/>
          <w:sz w:val="20"/>
          <w:szCs w:val="20"/>
          <w:lang w:val="fr-FR" w:bidi="ar-SA"/>
          <w14:ligatures w14:val="none"/>
        </w:rPr>
        <w:t>l’Émetteur  est</w:t>
      </w:r>
      <w:proofErr w:type="gramEnd"/>
      <w:r w:rsidRPr="00CA74B8">
        <w:rPr>
          <w:rFonts w:ascii="Times New Roman" w:eastAsia="MS Mincho" w:hAnsi="Times New Roman" w:cs="Times New Roman"/>
          <w:kern w:val="0"/>
          <w:sz w:val="20"/>
          <w:szCs w:val="20"/>
          <w:lang w:val="fr-FR" w:bidi="ar-SA"/>
          <w14:ligatures w14:val="none"/>
        </w:rPr>
        <w:t xml:space="preserve"> le suivant 875500BTZPKWM4X8R658. L’Émetteur est constitué et exerce ses activités conformément au droit allemand et son établissement principal est situé à Gridiron, One Pancras Square, Londres, N1C 4 AG, Royaume-Uni. Le siège social de l’Émetteur est situé à </w:t>
      </w:r>
      <w:proofErr w:type="spellStart"/>
      <w:r w:rsidRPr="00CA74B8">
        <w:rPr>
          <w:rFonts w:ascii="Times New Roman" w:eastAsia="MS Mincho" w:hAnsi="Times New Roman" w:cs="Times New Roman"/>
          <w:kern w:val="0"/>
          <w:sz w:val="20"/>
          <w:szCs w:val="20"/>
          <w:lang w:val="fr-FR" w:bidi="ar-SA"/>
          <w14:ligatures w14:val="none"/>
        </w:rPr>
        <w:t>Holzhecke</w:t>
      </w:r>
      <w:proofErr w:type="spellEnd"/>
      <w:r w:rsidRPr="00CA74B8">
        <w:rPr>
          <w:rFonts w:ascii="Times New Roman" w:eastAsia="MS Mincho" w:hAnsi="Times New Roman" w:cs="Times New Roman"/>
          <w:kern w:val="0"/>
          <w:sz w:val="20"/>
          <w:szCs w:val="20"/>
          <w:lang w:val="fr-FR" w:bidi="ar-SA"/>
          <w14:ligatures w14:val="none"/>
        </w:rPr>
        <w:t xml:space="preserve"> 13, 60528 Francfort-sur-le-Main, Allemagne et l’Émetteur est inscrit au registre du commerce du tribunal local (</w:t>
      </w:r>
      <w:proofErr w:type="spellStart"/>
      <w:r w:rsidRPr="00CA74B8">
        <w:rPr>
          <w:rFonts w:ascii="Times New Roman" w:eastAsia="MS Mincho" w:hAnsi="Times New Roman" w:cs="Times New Roman"/>
          <w:kern w:val="0"/>
          <w:sz w:val="20"/>
          <w:szCs w:val="20"/>
          <w:lang w:val="fr-FR" w:bidi="ar-SA"/>
          <w14:ligatures w14:val="none"/>
        </w:rPr>
        <w:t>Amtsgericht</w:t>
      </w:r>
      <w:proofErr w:type="spellEnd"/>
      <w:r w:rsidRPr="00CA74B8">
        <w:rPr>
          <w:rFonts w:ascii="Times New Roman" w:eastAsia="MS Mincho" w:hAnsi="Times New Roman" w:cs="Times New Roman"/>
          <w:kern w:val="0"/>
          <w:sz w:val="20"/>
          <w:szCs w:val="20"/>
          <w:lang w:val="fr-FR" w:bidi="ar-SA"/>
          <w14:ligatures w14:val="none"/>
        </w:rPr>
        <w:t>) de Francfort-sur-le-Main sous le numéro HRB 116604. Le site internet de l’Émetteur est https://www.etc-group.com et son numéro de téléphone est le +49 69 8088 3728.</w:t>
      </w:r>
    </w:p>
    <w:p w14:paraId="0376127D" w14:textId="2CDAA703" w:rsidR="008C1A14" w:rsidRPr="00CA74B8" w:rsidRDefault="008C1A14" w:rsidP="008C1A1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proofErr w:type="spellStart"/>
      <w:r w:rsidRPr="00CA74B8">
        <w:rPr>
          <w:rFonts w:ascii="Times New Roman" w:eastAsia="Times New Roman" w:hAnsi="Times New Roman" w:cs="Times New Roman"/>
          <w:b/>
          <w:bCs/>
          <w:iCs/>
          <w:color w:val="000000"/>
          <w:kern w:val="0"/>
          <w:sz w:val="20"/>
          <w:szCs w:val="20"/>
          <w:lang w:val="en-US" w:bidi="ar-SA"/>
          <w14:ligatures w14:val="none"/>
        </w:rPr>
        <w:t>Principales</w:t>
      </w:r>
      <w:proofErr w:type="spellEnd"/>
      <w:r w:rsidRPr="00CA74B8">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CA74B8">
        <w:rPr>
          <w:rFonts w:ascii="Times New Roman" w:eastAsia="Times New Roman" w:hAnsi="Times New Roman" w:cs="Times New Roman"/>
          <w:b/>
          <w:bCs/>
          <w:iCs/>
          <w:color w:val="000000"/>
          <w:kern w:val="0"/>
          <w:sz w:val="20"/>
          <w:szCs w:val="20"/>
          <w:lang w:val="en-US" w:bidi="ar-SA"/>
          <w14:ligatures w14:val="none"/>
        </w:rPr>
        <w:t>activités</w:t>
      </w:r>
      <w:proofErr w:type="spellEnd"/>
      <w:r w:rsidRPr="00CA74B8">
        <w:rPr>
          <w:rFonts w:ascii="Times New Roman" w:eastAsia="Times New Roman" w:hAnsi="Times New Roman" w:cs="Times New Roman"/>
          <w:b/>
          <w:bCs/>
          <w:iCs/>
          <w:color w:val="000000"/>
          <w:kern w:val="0"/>
          <w:sz w:val="20"/>
          <w:szCs w:val="20"/>
          <w:lang w:val="en-US" w:bidi="ar-SA"/>
          <w14:ligatures w14:val="none"/>
        </w:rPr>
        <w:t xml:space="preserve"> de </w:t>
      </w:r>
      <w:proofErr w:type="spellStart"/>
      <w:r w:rsidRPr="00CA74B8">
        <w:rPr>
          <w:rFonts w:ascii="Times New Roman" w:eastAsia="Times New Roman" w:hAnsi="Times New Roman" w:cs="Times New Roman"/>
          <w:b/>
          <w:bCs/>
          <w:iCs/>
          <w:color w:val="000000"/>
          <w:kern w:val="0"/>
          <w:sz w:val="20"/>
          <w:szCs w:val="20"/>
          <w:lang w:val="en-US" w:bidi="ar-SA"/>
          <w14:ligatures w14:val="none"/>
        </w:rPr>
        <w:t>l’Émetteur</w:t>
      </w:r>
      <w:proofErr w:type="spellEnd"/>
    </w:p>
    <w:p w14:paraId="20522970" w14:textId="77777777" w:rsidR="00801321" w:rsidRPr="00CA74B8" w:rsidRDefault="00801321" w:rsidP="002D5055">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La principale activité de l'Émetteur est l'émission d'obligations bénéficiant de sûretés sur des crypto-monnaies et autres actifs numériques, y compris des obligations qui prévoient également une fonction de </w:t>
      </w:r>
      <w:proofErr w:type="spellStart"/>
      <w:r w:rsidRPr="00CA74B8">
        <w:rPr>
          <w:rFonts w:ascii="Times New Roman" w:eastAsia="MS Mincho" w:hAnsi="Times New Roman" w:cs="Times New Roman"/>
          <w:kern w:val="0"/>
          <w:sz w:val="20"/>
          <w:szCs w:val="20"/>
          <w:lang w:val="fr-FR" w:bidi="ar-SA"/>
          <w14:ligatures w14:val="none"/>
        </w:rPr>
        <w:t>staking</w:t>
      </w:r>
      <w:proofErr w:type="spellEnd"/>
      <w:r w:rsidRPr="00CA74B8">
        <w:rPr>
          <w:rFonts w:ascii="Times New Roman" w:eastAsia="MS Mincho" w:hAnsi="Times New Roman" w:cs="Times New Roman"/>
          <w:kern w:val="0"/>
          <w:sz w:val="20"/>
          <w:szCs w:val="20"/>
          <w:lang w:val="fr-FR" w:bidi="ar-SA"/>
          <w14:ligatures w14:val="none"/>
        </w:rPr>
        <w:t xml:space="preserve">. À cet égard, l'Émetteur fera appel aux services d'un Prestataire de </w:t>
      </w:r>
      <w:proofErr w:type="spellStart"/>
      <w:r w:rsidRPr="00CA74B8">
        <w:rPr>
          <w:rFonts w:ascii="Times New Roman" w:eastAsia="MS Mincho" w:hAnsi="Times New Roman" w:cs="Times New Roman"/>
          <w:kern w:val="0"/>
          <w:sz w:val="20"/>
          <w:szCs w:val="20"/>
          <w:lang w:val="fr-FR" w:bidi="ar-SA"/>
          <w14:ligatures w14:val="none"/>
        </w:rPr>
        <w:t>Staking</w:t>
      </w:r>
      <w:proofErr w:type="spellEnd"/>
      <w:r w:rsidRPr="00CA74B8">
        <w:rPr>
          <w:rFonts w:ascii="Times New Roman" w:eastAsia="MS Mincho" w:hAnsi="Times New Roman" w:cs="Times New Roman"/>
          <w:kern w:val="0"/>
          <w:sz w:val="20"/>
          <w:szCs w:val="20"/>
          <w:lang w:val="fr-FR" w:bidi="ar-SA"/>
          <w14:ligatures w14:val="none"/>
        </w:rPr>
        <w:t xml:space="preserve"> pour participer à des activités de </w:t>
      </w:r>
      <w:proofErr w:type="spellStart"/>
      <w:r w:rsidRPr="00CA74B8">
        <w:rPr>
          <w:rFonts w:ascii="Times New Roman" w:eastAsia="MS Mincho" w:hAnsi="Times New Roman" w:cs="Times New Roman"/>
          <w:kern w:val="0"/>
          <w:sz w:val="20"/>
          <w:szCs w:val="20"/>
          <w:lang w:val="fr-FR" w:bidi="ar-SA"/>
          <w14:ligatures w14:val="none"/>
        </w:rPr>
        <w:t>staking</w:t>
      </w:r>
      <w:proofErr w:type="spellEnd"/>
      <w:r w:rsidRPr="00CA74B8">
        <w:rPr>
          <w:rFonts w:ascii="Times New Roman" w:eastAsia="MS Mincho" w:hAnsi="Times New Roman" w:cs="Times New Roman"/>
          <w:kern w:val="0"/>
          <w:sz w:val="20"/>
          <w:szCs w:val="20"/>
          <w:lang w:val="fr-FR" w:bidi="ar-SA"/>
          <w14:ligatures w14:val="none"/>
        </w:rPr>
        <w:t xml:space="preserve"> liées aux crypto-monnaies reçues en échange de la souscription aux obligations émises.</w:t>
      </w:r>
    </w:p>
    <w:p w14:paraId="6FA9FC9E" w14:textId="0B49A4CE" w:rsidR="008C1A14" w:rsidRPr="00CA74B8" w:rsidRDefault="00801321" w:rsidP="002D5055">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Par l’émission des Obligations, l’Émetteur entend répondre à la demande des investisseurs pour des titres négociables au moyen desquels un investissement dans des crypto-monnaies et autres actifs numériques est réalisé.</w:t>
      </w:r>
    </w:p>
    <w:p w14:paraId="674D3A59" w14:textId="7FE36993" w:rsidR="008C1A14" w:rsidRPr="00CA74B8" w:rsidRDefault="00801321" w:rsidP="008C1A1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proofErr w:type="spellStart"/>
      <w:r w:rsidRPr="00CA74B8">
        <w:rPr>
          <w:rFonts w:ascii="Times New Roman" w:eastAsia="Times New Roman" w:hAnsi="Times New Roman" w:cs="Times New Roman"/>
          <w:b/>
          <w:bCs/>
          <w:iCs/>
          <w:color w:val="000000"/>
          <w:kern w:val="0"/>
          <w:sz w:val="20"/>
          <w:szCs w:val="20"/>
          <w:lang w:val="en-US" w:bidi="ar-SA"/>
          <w14:ligatures w14:val="none"/>
        </w:rPr>
        <w:t>Principaux</w:t>
      </w:r>
      <w:proofErr w:type="spellEnd"/>
      <w:r w:rsidRPr="00CA74B8">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CA74B8">
        <w:rPr>
          <w:rFonts w:ascii="Times New Roman" w:eastAsia="Times New Roman" w:hAnsi="Times New Roman" w:cs="Times New Roman"/>
          <w:b/>
          <w:bCs/>
          <w:iCs/>
          <w:color w:val="000000"/>
          <w:kern w:val="0"/>
          <w:sz w:val="20"/>
          <w:szCs w:val="20"/>
          <w:lang w:val="en-US" w:bidi="ar-SA"/>
          <w14:ligatures w14:val="none"/>
        </w:rPr>
        <w:t>actionnaires</w:t>
      </w:r>
      <w:proofErr w:type="spellEnd"/>
    </w:p>
    <w:p w14:paraId="3CA80800" w14:textId="1E8FA42A" w:rsidR="008C1A14" w:rsidRPr="00CA74B8" w:rsidRDefault="008C1A14" w:rsidP="002D5055">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L’unique actionnaire de l’Émetteur est ETC Management Ltd (« </w:t>
      </w:r>
      <w:r w:rsidRPr="00CA74B8">
        <w:rPr>
          <w:rFonts w:ascii="Times New Roman" w:eastAsia="MS Mincho" w:hAnsi="Times New Roman" w:cs="Times New Roman"/>
          <w:b/>
          <w:bCs/>
          <w:kern w:val="0"/>
          <w:sz w:val="20"/>
          <w:szCs w:val="20"/>
          <w:lang w:val="fr-FR" w:bidi="ar-SA"/>
          <w14:ligatures w14:val="none"/>
        </w:rPr>
        <w:t>ETCM</w:t>
      </w:r>
      <w:r w:rsidRPr="00CA74B8">
        <w:rPr>
          <w:rFonts w:ascii="Times New Roman" w:eastAsia="MS Mincho" w:hAnsi="Times New Roman" w:cs="Times New Roman"/>
          <w:kern w:val="0"/>
          <w:sz w:val="20"/>
          <w:szCs w:val="20"/>
          <w:lang w:val="fr-FR" w:bidi="ar-SA"/>
          <w14:ligatures w14:val="none"/>
        </w:rPr>
        <w:t xml:space="preserve"> »). L’unique actionnaire d’ETCM est ETC Holdings Ltd (la « </w:t>
      </w:r>
      <w:r w:rsidRPr="00CA74B8">
        <w:rPr>
          <w:rFonts w:ascii="Times New Roman" w:eastAsia="MS Mincho" w:hAnsi="Times New Roman" w:cs="Times New Roman"/>
          <w:b/>
          <w:bCs/>
          <w:kern w:val="0"/>
          <w:sz w:val="20"/>
          <w:szCs w:val="20"/>
          <w:lang w:val="fr-FR" w:bidi="ar-SA"/>
          <w14:ligatures w14:val="none"/>
        </w:rPr>
        <w:t>Société Holding</w:t>
      </w:r>
      <w:r w:rsidRPr="00CA74B8">
        <w:rPr>
          <w:rFonts w:ascii="Times New Roman" w:eastAsia="MS Mincho" w:hAnsi="Times New Roman" w:cs="Times New Roman"/>
          <w:kern w:val="0"/>
          <w:sz w:val="20"/>
          <w:szCs w:val="20"/>
          <w:lang w:val="fr-FR" w:bidi="ar-SA"/>
          <w14:ligatures w14:val="none"/>
        </w:rPr>
        <w:t xml:space="preserve"> »). Les actions de la Société Holding sont concentrées entre : (i) XTX Investments UK Limited (« </w:t>
      </w:r>
      <w:r w:rsidRPr="00CA74B8">
        <w:rPr>
          <w:rFonts w:ascii="Times New Roman" w:eastAsia="MS Mincho" w:hAnsi="Times New Roman" w:cs="Times New Roman"/>
          <w:b/>
          <w:bCs/>
          <w:kern w:val="0"/>
          <w:sz w:val="20"/>
          <w:szCs w:val="20"/>
          <w:lang w:val="fr-FR" w:bidi="ar-SA"/>
          <w14:ligatures w14:val="none"/>
        </w:rPr>
        <w:t>XTX</w:t>
      </w:r>
      <w:r w:rsidRPr="00CA74B8">
        <w:rPr>
          <w:rFonts w:ascii="Times New Roman" w:eastAsia="MS Mincho" w:hAnsi="Times New Roman" w:cs="Times New Roman"/>
          <w:kern w:val="0"/>
          <w:sz w:val="20"/>
          <w:szCs w:val="20"/>
          <w:lang w:val="fr-FR" w:bidi="ar-SA"/>
          <w14:ligatures w14:val="none"/>
        </w:rPr>
        <w:t xml:space="preserve"> ») et (ii) MLM Holdings Ltd (</w:t>
      </w:r>
      <w:r w:rsidR="00801321" w:rsidRPr="00CA74B8">
        <w:rPr>
          <w:rFonts w:ascii="Times New Roman" w:eastAsia="MS Mincho" w:hAnsi="Times New Roman" w:cs="Times New Roman"/>
          <w:kern w:val="0"/>
          <w:sz w:val="20"/>
          <w:szCs w:val="20"/>
          <w:lang w:val="fr-FR" w:bidi="ar-SA"/>
          <w14:ligatures w14:val="none"/>
        </w:rPr>
        <w:t xml:space="preserve">« </w:t>
      </w:r>
      <w:r w:rsidR="00801321" w:rsidRPr="00CA74B8">
        <w:rPr>
          <w:rFonts w:ascii="Times New Roman" w:eastAsia="MS Mincho" w:hAnsi="Times New Roman" w:cs="Times New Roman"/>
          <w:b/>
          <w:bCs/>
          <w:kern w:val="0"/>
          <w:sz w:val="20"/>
          <w:szCs w:val="20"/>
          <w:lang w:val="fr-FR" w:bidi="ar-SA"/>
          <w14:ligatures w14:val="none"/>
        </w:rPr>
        <w:t>MLM</w:t>
      </w:r>
      <w:r w:rsidR="00801321" w:rsidRPr="00CA74B8">
        <w:rPr>
          <w:rFonts w:ascii="Times New Roman" w:eastAsia="MS Mincho" w:hAnsi="Times New Roman" w:cs="Times New Roman"/>
          <w:kern w:val="0"/>
          <w:sz w:val="20"/>
          <w:szCs w:val="20"/>
          <w:lang w:val="fr-FR" w:bidi="ar-SA"/>
          <w14:ligatures w14:val="none"/>
        </w:rPr>
        <w:t xml:space="preserve"> »</w:t>
      </w:r>
      <w:r w:rsidRPr="00CA74B8">
        <w:rPr>
          <w:rFonts w:ascii="Times New Roman" w:eastAsia="MS Mincho" w:hAnsi="Times New Roman" w:cs="Times New Roman"/>
          <w:kern w:val="0"/>
          <w:sz w:val="20"/>
          <w:szCs w:val="20"/>
          <w:lang w:val="fr-FR" w:bidi="ar-SA"/>
          <w14:ligatures w14:val="none"/>
        </w:rPr>
        <w:t>)</w:t>
      </w:r>
      <w:r w:rsidR="00801321" w:rsidRPr="00CA74B8">
        <w:rPr>
          <w:rFonts w:ascii="Times New Roman" w:eastAsia="MS Mincho" w:hAnsi="Times New Roman" w:cs="Times New Roman"/>
          <w:kern w:val="0"/>
          <w:sz w:val="20"/>
          <w:szCs w:val="20"/>
          <w:lang w:val="fr-FR" w:bidi="ar-SA"/>
          <w14:ligatures w14:val="none"/>
        </w:rPr>
        <w:t>, qui, ensemble, détiennent plus de 50,00 pour cent des droits de vote.</w:t>
      </w:r>
    </w:p>
    <w:p w14:paraId="3FA67B91" w14:textId="3CF40B2E" w:rsidR="008C1A14" w:rsidRPr="00CA74B8" w:rsidRDefault="008C1A14" w:rsidP="008C1A1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proofErr w:type="spellStart"/>
      <w:r w:rsidRPr="00CA74B8">
        <w:rPr>
          <w:rFonts w:ascii="Times New Roman" w:eastAsia="Times New Roman" w:hAnsi="Times New Roman" w:cs="Times New Roman"/>
          <w:b/>
          <w:bCs/>
          <w:iCs/>
          <w:color w:val="000000"/>
          <w:kern w:val="0"/>
          <w:sz w:val="20"/>
          <w:szCs w:val="20"/>
          <w:lang w:val="en-US" w:bidi="ar-SA"/>
          <w14:ligatures w14:val="none"/>
        </w:rPr>
        <w:t>Principaux</w:t>
      </w:r>
      <w:proofErr w:type="spellEnd"/>
      <w:r w:rsidRPr="00CA74B8">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CA74B8">
        <w:rPr>
          <w:rFonts w:ascii="Times New Roman" w:eastAsia="Times New Roman" w:hAnsi="Times New Roman" w:cs="Times New Roman"/>
          <w:b/>
          <w:bCs/>
          <w:iCs/>
          <w:color w:val="000000"/>
          <w:kern w:val="0"/>
          <w:sz w:val="20"/>
          <w:szCs w:val="20"/>
          <w:lang w:val="en-US" w:bidi="ar-SA"/>
          <w14:ligatures w14:val="none"/>
        </w:rPr>
        <w:t>directeurs</w:t>
      </w:r>
      <w:proofErr w:type="spellEnd"/>
      <w:r w:rsidRPr="00CA74B8">
        <w:rPr>
          <w:rFonts w:ascii="Times New Roman" w:eastAsia="Times New Roman" w:hAnsi="Times New Roman" w:cs="Times New Roman"/>
          <w:b/>
          <w:bCs/>
          <w:iCs/>
          <w:color w:val="000000"/>
          <w:kern w:val="0"/>
          <w:sz w:val="20"/>
          <w:szCs w:val="20"/>
          <w:lang w:val="en-US" w:bidi="ar-SA"/>
          <w14:ligatures w14:val="none"/>
        </w:rPr>
        <w:t xml:space="preserve"> </w:t>
      </w:r>
      <w:proofErr w:type="spellStart"/>
      <w:r w:rsidRPr="00CA74B8">
        <w:rPr>
          <w:rFonts w:ascii="Times New Roman" w:eastAsia="Times New Roman" w:hAnsi="Times New Roman" w:cs="Times New Roman"/>
          <w:b/>
          <w:bCs/>
          <w:iCs/>
          <w:color w:val="000000"/>
          <w:kern w:val="0"/>
          <w:sz w:val="20"/>
          <w:szCs w:val="20"/>
          <w:lang w:val="en-US" w:bidi="ar-SA"/>
          <w14:ligatures w14:val="none"/>
        </w:rPr>
        <w:t>généraux</w:t>
      </w:r>
      <w:proofErr w:type="spellEnd"/>
    </w:p>
    <w:p w14:paraId="70DF3786" w14:textId="29F98036" w:rsidR="008C1A14" w:rsidRPr="00CA74B8" w:rsidRDefault="008C1A14" w:rsidP="008C1A14">
      <w:pPr>
        <w:spacing w:after="60" w:line="240" w:lineRule="auto"/>
        <w:ind w:left="720" w:hanging="720"/>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L’Émetteur est géré par ses directeurs généraux, Leyla Sharifullina et Timothy Bevan.</w:t>
      </w:r>
    </w:p>
    <w:p w14:paraId="3E620551" w14:textId="34B4FEC4" w:rsidR="008C1A14" w:rsidRPr="00CA74B8" w:rsidRDefault="00801321" w:rsidP="008C1A1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r-FR" w:bidi="ar-SA"/>
          <w14:ligatures w14:val="none"/>
        </w:rPr>
      </w:pPr>
      <w:r w:rsidRPr="00CA74B8">
        <w:rPr>
          <w:rFonts w:ascii="Times New Roman" w:eastAsia="Times New Roman" w:hAnsi="Times New Roman" w:cs="Times New Roman"/>
          <w:b/>
          <w:bCs/>
          <w:iCs/>
          <w:color w:val="000000"/>
          <w:kern w:val="0"/>
          <w:sz w:val="20"/>
          <w:szCs w:val="20"/>
          <w:lang w:val="fr-FR" w:bidi="ar-SA"/>
          <w14:ligatures w14:val="none"/>
        </w:rPr>
        <w:t>Commissaires aux comptes</w:t>
      </w:r>
    </w:p>
    <w:p w14:paraId="06B3364B" w14:textId="6217DEE8" w:rsidR="00F12BAC" w:rsidRPr="00CA74B8" w:rsidRDefault="00F12BAC" w:rsidP="00F12BAC">
      <w:pPr>
        <w:spacing w:after="60" w:line="240" w:lineRule="auto"/>
        <w:jc w:val="both"/>
        <w:rPr>
          <w:rFonts w:ascii="Times New Roman" w:eastAsia="MS Mincho" w:hAnsi="Times New Roman" w:cs="Times New Roman"/>
          <w:kern w:val="0"/>
          <w:sz w:val="20"/>
          <w:szCs w:val="20"/>
          <w:lang w:bidi="ar-SA"/>
          <w14:ligatures w14:val="none"/>
        </w:rPr>
      </w:pPr>
      <w:r w:rsidRPr="00CA74B8">
        <w:rPr>
          <w:rFonts w:ascii="Times New Roman" w:eastAsia="MS Mincho" w:hAnsi="Times New Roman" w:cs="Times New Roman"/>
          <w:kern w:val="0"/>
          <w:sz w:val="20"/>
          <w:szCs w:val="20"/>
          <w:lang w:val="fr-FR" w:bidi="ar-SA"/>
          <w14:ligatures w14:val="none"/>
        </w:rPr>
        <w:t xml:space="preserve">BFS </w:t>
      </w:r>
      <w:proofErr w:type="spellStart"/>
      <w:r w:rsidRPr="00CA74B8">
        <w:rPr>
          <w:rFonts w:ascii="Times New Roman" w:eastAsia="MS Mincho" w:hAnsi="Times New Roman" w:cs="Times New Roman"/>
          <w:kern w:val="0"/>
          <w:sz w:val="20"/>
          <w:szCs w:val="20"/>
          <w:lang w:val="fr-FR" w:bidi="ar-SA"/>
          <w14:ligatures w14:val="none"/>
        </w:rPr>
        <w:t>Revisions</w:t>
      </w:r>
      <w:proofErr w:type="spellEnd"/>
      <w:r w:rsidRPr="00CA74B8">
        <w:rPr>
          <w:rFonts w:ascii="Times New Roman" w:eastAsia="MS Mincho" w:hAnsi="Times New Roman" w:cs="Times New Roman"/>
          <w:kern w:val="0"/>
          <w:sz w:val="20"/>
          <w:szCs w:val="20"/>
          <w:lang w:val="fr-FR" w:bidi="ar-SA"/>
          <w14:ligatures w14:val="none"/>
        </w:rPr>
        <w:t xml:space="preserve">- </w:t>
      </w:r>
      <w:proofErr w:type="spellStart"/>
      <w:r w:rsidRPr="00CA74B8">
        <w:rPr>
          <w:rFonts w:ascii="Times New Roman" w:eastAsia="MS Mincho" w:hAnsi="Times New Roman" w:cs="Times New Roman"/>
          <w:kern w:val="0"/>
          <w:sz w:val="20"/>
          <w:szCs w:val="20"/>
          <w:lang w:val="fr-FR" w:bidi="ar-SA"/>
          <w14:ligatures w14:val="none"/>
        </w:rPr>
        <w:t>und</w:t>
      </w:r>
      <w:proofErr w:type="spellEnd"/>
      <w:r w:rsidRPr="00CA74B8">
        <w:rPr>
          <w:rFonts w:ascii="Times New Roman" w:eastAsia="MS Mincho" w:hAnsi="Times New Roman" w:cs="Times New Roman"/>
          <w:kern w:val="0"/>
          <w:sz w:val="20"/>
          <w:szCs w:val="20"/>
          <w:lang w:val="fr-FR" w:bidi="ar-SA"/>
          <w14:ligatures w14:val="none"/>
        </w:rPr>
        <w:t xml:space="preserve"> Treuhand </w:t>
      </w:r>
      <w:proofErr w:type="spellStart"/>
      <w:r w:rsidRPr="00CA74B8">
        <w:rPr>
          <w:rFonts w:ascii="Times New Roman" w:eastAsia="MS Mincho" w:hAnsi="Times New Roman" w:cs="Times New Roman"/>
          <w:kern w:val="0"/>
          <w:sz w:val="20"/>
          <w:szCs w:val="20"/>
          <w:lang w:val="fr-FR" w:bidi="ar-SA"/>
          <w14:ligatures w14:val="none"/>
        </w:rPr>
        <w:t>GmbH</w:t>
      </w:r>
      <w:proofErr w:type="spellEnd"/>
      <w:r w:rsidRPr="00CA74B8">
        <w:rPr>
          <w:rFonts w:ascii="Times New Roman" w:eastAsia="MS Mincho" w:hAnsi="Times New Roman" w:cs="Times New Roman"/>
          <w:kern w:val="0"/>
          <w:sz w:val="20"/>
          <w:szCs w:val="20"/>
          <w:lang w:val="fr-FR" w:bidi="ar-SA"/>
          <w14:ligatures w14:val="none"/>
        </w:rPr>
        <w:t xml:space="preserve"> </w:t>
      </w:r>
      <w:proofErr w:type="spellStart"/>
      <w:r w:rsidRPr="00CA74B8">
        <w:rPr>
          <w:rFonts w:ascii="Times New Roman" w:eastAsia="MS Mincho" w:hAnsi="Times New Roman" w:cs="Times New Roman"/>
          <w:kern w:val="0"/>
          <w:sz w:val="20"/>
          <w:szCs w:val="20"/>
          <w:lang w:val="fr-FR" w:bidi="ar-SA"/>
          <w14:ligatures w14:val="none"/>
        </w:rPr>
        <w:t>Wirtschaftsprüfungsgesellschaft</w:t>
      </w:r>
      <w:proofErr w:type="spellEnd"/>
      <w:r w:rsidRPr="00CA74B8">
        <w:rPr>
          <w:rFonts w:ascii="Times New Roman" w:eastAsia="MS Mincho" w:hAnsi="Times New Roman" w:cs="Times New Roman"/>
          <w:kern w:val="0"/>
          <w:sz w:val="20"/>
          <w:szCs w:val="20"/>
          <w:lang w:val="fr-FR" w:bidi="ar-SA"/>
          <w14:ligatures w14:val="none"/>
        </w:rPr>
        <w:t xml:space="preserve">, dont le siège social est situé à Berliner Straße 75, 63065 Offenbach-sur-le-Main, Allemagne, </w:t>
      </w:r>
      <w:r w:rsidR="00D12E0A" w:rsidRPr="00CA74B8">
        <w:rPr>
          <w:rFonts w:ascii="Times New Roman" w:eastAsia="MS Mincho" w:hAnsi="Times New Roman" w:cs="Times New Roman"/>
          <w:kern w:val="0"/>
          <w:sz w:val="20"/>
          <w:szCs w:val="20"/>
          <w:lang w:val="fr-FR" w:bidi="ar-SA"/>
          <w14:ligatures w14:val="none"/>
        </w:rPr>
        <w:t xml:space="preserve">est </w:t>
      </w:r>
      <w:r w:rsidR="00B5596E" w:rsidRPr="00CA74B8">
        <w:rPr>
          <w:rFonts w:ascii="Times New Roman" w:eastAsia="MS Mincho" w:hAnsi="Times New Roman" w:cs="Times New Roman"/>
          <w:kern w:val="0"/>
          <w:sz w:val="20"/>
          <w:szCs w:val="20"/>
          <w:lang w:val="fr-FR" w:bidi="ar-SA"/>
          <w14:ligatures w14:val="none"/>
        </w:rPr>
        <w:t>le commissaire</w:t>
      </w:r>
      <w:r w:rsidRPr="00CA74B8">
        <w:rPr>
          <w:rFonts w:ascii="Times New Roman" w:eastAsia="MS Mincho" w:hAnsi="Times New Roman" w:cs="Times New Roman"/>
          <w:kern w:val="0"/>
          <w:sz w:val="20"/>
          <w:szCs w:val="20"/>
          <w:lang w:val="fr-FR" w:bidi="ar-SA"/>
          <w14:ligatures w14:val="none"/>
        </w:rPr>
        <w:t xml:space="preserve"> aux comptes de l'Émetteur pour l'exercice </w:t>
      </w:r>
      <w:r w:rsidR="00D12E0A" w:rsidRPr="00CA74B8">
        <w:rPr>
          <w:rFonts w:ascii="Times New Roman" w:eastAsia="MS Mincho" w:hAnsi="Times New Roman" w:cs="Times New Roman"/>
          <w:kern w:val="0"/>
          <w:sz w:val="20"/>
          <w:szCs w:val="20"/>
          <w:lang w:val="fr-FR" w:bidi="ar-SA"/>
          <w14:ligatures w14:val="none"/>
        </w:rPr>
        <w:t>clôturé</w:t>
      </w:r>
      <w:r w:rsidRPr="00CA74B8">
        <w:rPr>
          <w:rFonts w:ascii="Times New Roman" w:eastAsia="MS Mincho" w:hAnsi="Times New Roman" w:cs="Times New Roman"/>
          <w:kern w:val="0"/>
          <w:sz w:val="20"/>
          <w:szCs w:val="20"/>
          <w:lang w:val="fr-FR" w:bidi="ar-SA"/>
          <w14:ligatures w14:val="none"/>
        </w:rPr>
        <w:t xml:space="preserve"> le 31 décembre 2021. </w:t>
      </w:r>
      <w:r w:rsidRPr="00CA74B8">
        <w:rPr>
          <w:rFonts w:ascii="Times New Roman" w:eastAsia="MS Mincho" w:hAnsi="Times New Roman" w:cs="Times New Roman"/>
          <w:kern w:val="0"/>
          <w:sz w:val="20"/>
          <w:szCs w:val="20"/>
          <w:lang w:bidi="ar-SA"/>
          <w14:ligatures w14:val="none"/>
        </w:rPr>
        <w:t>BFS Revisions- und Treuhand GmbH Wirtschaftsprüfungsgesellschaft est membre de la Chambre allemande des experts comptables (</w:t>
      </w:r>
      <w:r w:rsidRPr="00CA74B8">
        <w:rPr>
          <w:rFonts w:ascii="Times New Roman" w:eastAsia="MS Mincho" w:hAnsi="Times New Roman" w:cs="Times New Roman"/>
          <w:i/>
          <w:iCs/>
          <w:kern w:val="0"/>
          <w:sz w:val="20"/>
          <w:szCs w:val="20"/>
          <w:lang w:bidi="ar-SA"/>
          <w14:ligatures w14:val="none"/>
        </w:rPr>
        <w:t>Wirtschaftsprüferkammer</w:t>
      </w:r>
      <w:r w:rsidRPr="00CA74B8">
        <w:rPr>
          <w:rFonts w:ascii="Times New Roman" w:eastAsia="MS Mincho" w:hAnsi="Times New Roman" w:cs="Times New Roman"/>
          <w:kern w:val="0"/>
          <w:sz w:val="20"/>
          <w:szCs w:val="20"/>
          <w:lang w:bidi="ar-SA"/>
          <w14:ligatures w14:val="none"/>
        </w:rPr>
        <w:t>).</w:t>
      </w:r>
    </w:p>
    <w:p w14:paraId="654AC234" w14:textId="4497609C" w:rsidR="008C1A14" w:rsidRPr="00CA74B8" w:rsidRDefault="00F12BAC" w:rsidP="00F12BAC">
      <w:pPr>
        <w:spacing w:after="60" w:line="240" w:lineRule="auto"/>
        <w:jc w:val="both"/>
        <w:rPr>
          <w:rFonts w:ascii="Times New Roman" w:eastAsia="MS Mincho" w:hAnsi="Times New Roman" w:cs="Times New Roman"/>
          <w:kern w:val="0"/>
          <w:sz w:val="20"/>
          <w:szCs w:val="20"/>
          <w:lang w:bidi="ar-SA"/>
          <w14:ligatures w14:val="none"/>
        </w:rPr>
      </w:pPr>
      <w:r w:rsidRPr="00CA74B8">
        <w:rPr>
          <w:rFonts w:ascii="Times New Roman" w:eastAsia="MS Mincho" w:hAnsi="Times New Roman" w:cs="Times New Roman"/>
          <w:kern w:val="0"/>
          <w:sz w:val="20"/>
          <w:szCs w:val="20"/>
          <w:lang w:val="fr-FR" w:bidi="ar-SA"/>
          <w14:ligatures w14:val="none"/>
        </w:rPr>
        <w:lastRenderedPageBreak/>
        <w:t xml:space="preserve">Pour l'exercice </w:t>
      </w:r>
      <w:r w:rsidR="00D12E0A" w:rsidRPr="00CA74B8">
        <w:rPr>
          <w:rFonts w:ascii="Times New Roman" w:eastAsia="MS Mincho" w:hAnsi="Times New Roman" w:cs="Times New Roman"/>
          <w:kern w:val="0"/>
          <w:sz w:val="20"/>
          <w:szCs w:val="20"/>
          <w:lang w:val="fr-FR" w:bidi="ar-SA"/>
          <w14:ligatures w14:val="none"/>
        </w:rPr>
        <w:t>clôturé</w:t>
      </w:r>
      <w:r w:rsidRPr="00CA74B8">
        <w:rPr>
          <w:rFonts w:ascii="Times New Roman" w:eastAsia="MS Mincho" w:hAnsi="Times New Roman" w:cs="Times New Roman"/>
          <w:kern w:val="0"/>
          <w:sz w:val="20"/>
          <w:szCs w:val="20"/>
          <w:lang w:val="fr-FR" w:bidi="ar-SA"/>
          <w14:ligatures w14:val="none"/>
        </w:rPr>
        <w:t xml:space="preserve"> le 31 décembre 2022, Deloitte </w:t>
      </w:r>
      <w:proofErr w:type="spellStart"/>
      <w:r w:rsidRPr="00CA74B8">
        <w:rPr>
          <w:rFonts w:ascii="Times New Roman" w:eastAsia="MS Mincho" w:hAnsi="Times New Roman" w:cs="Times New Roman"/>
          <w:kern w:val="0"/>
          <w:sz w:val="20"/>
          <w:szCs w:val="20"/>
          <w:lang w:val="fr-FR" w:bidi="ar-SA"/>
          <w14:ligatures w14:val="none"/>
        </w:rPr>
        <w:t>GmbH</w:t>
      </w:r>
      <w:proofErr w:type="spellEnd"/>
      <w:r w:rsidRPr="00CA74B8">
        <w:rPr>
          <w:rFonts w:ascii="Times New Roman" w:eastAsia="MS Mincho" w:hAnsi="Times New Roman" w:cs="Times New Roman"/>
          <w:kern w:val="0"/>
          <w:sz w:val="20"/>
          <w:szCs w:val="20"/>
          <w:lang w:val="fr-FR" w:bidi="ar-SA"/>
          <w14:ligatures w14:val="none"/>
        </w:rPr>
        <w:t xml:space="preserve"> </w:t>
      </w:r>
      <w:proofErr w:type="spellStart"/>
      <w:r w:rsidRPr="00CA74B8">
        <w:rPr>
          <w:rFonts w:ascii="Times New Roman" w:eastAsia="MS Mincho" w:hAnsi="Times New Roman" w:cs="Times New Roman"/>
          <w:kern w:val="0"/>
          <w:sz w:val="20"/>
          <w:szCs w:val="20"/>
          <w:lang w:val="fr-FR" w:bidi="ar-SA"/>
          <w14:ligatures w14:val="none"/>
        </w:rPr>
        <w:t>Wirtschaftsprüfungsgesellschaft</w:t>
      </w:r>
      <w:proofErr w:type="spellEnd"/>
      <w:r w:rsidRPr="00CA74B8">
        <w:rPr>
          <w:rFonts w:ascii="Times New Roman" w:eastAsia="MS Mincho" w:hAnsi="Times New Roman" w:cs="Times New Roman"/>
          <w:kern w:val="0"/>
          <w:sz w:val="20"/>
          <w:szCs w:val="20"/>
          <w:lang w:val="fr-FR" w:bidi="ar-SA"/>
          <w14:ligatures w14:val="none"/>
        </w:rPr>
        <w:t xml:space="preserve">, dont le siège social est situé à Europa-Allee 91, 60486 Frankfurt </w:t>
      </w:r>
      <w:proofErr w:type="spellStart"/>
      <w:r w:rsidRPr="00CA74B8">
        <w:rPr>
          <w:rFonts w:ascii="Times New Roman" w:eastAsia="MS Mincho" w:hAnsi="Times New Roman" w:cs="Times New Roman"/>
          <w:kern w:val="0"/>
          <w:sz w:val="20"/>
          <w:szCs w:val="20"/>
          <w:lang w:val="fr-FR" w:bidi="ar-SA"/>
          <w14:ligatures w14:val="none"/>
        </w:rPr>
        <w:t>am</w:t>
      </w:r>
      <w:proofErr w:type="spellEnd"/>
      <w:r w:rsidRPr="00CA74B8">
        <w:rPr>
          <w:rFonts w:ascii="Times New Roman" w:eastAsia="MS Mincho" w:hAnsi="Times New Roman" w:cs="Times New Roman"/>
          <w:kern w:val="0"/>
          <w:sz w:val="20"/>
          <w:szCs w:val="20"/>
          <w:lang w:val="fr-FR" w:bidi="ar-SA"/>
          <w14:ligatures w14:val="none"/>
        </w:rPr>
        <w:t xml:space="preserve"> Main, Allemagne, est le commissaire aux comptes de l'Émetteur. </w:t>
      </w:r>
      <w:r w:rsidRPr="00CA74B8">
        <w:rPr>
          <w:rFonts w:ascii="Times New Roman" w:eastAsia="MS Mincho" w:hAnsi="Times New Roman" w:cs="Times New Roman"/>
          <w:kern w:val="0"/>
          <w:sz w:val="20"/>
          <w:szCs w:val="20"/>
          <w:lang w:bidi="ar-SA"/>
          <w14:ligatures w14:val="none"/>
        </w:rPr>
        <w:t>Deloitte GmbH Wirtschaftsprüfungsgesellschaft est membre de la Chambre allemande des experts comptables (</w:t>
      </w:r>
      <w:r w:rsidRPr="00CA74B8">
        <w:rPr>
          <w:rFonts w:ascii="Times New Roman" w:eastAsia="MS Mincho" w:hAnsi="Times New Roman" w:cs="Times New Roman"/>
          <w:i/>
          <w:iCs/>
          <w:kern w:val="0"/>
          <w:sz w:val="20"/>
          <w:szCs w:val="20"/>
          <w:lang w:bidi="ar-SA"/>
          <w14:ligatures w14:val="none"/>
        </w:rPr>
        <w:t>Wirtschaftsprüferkammer</w:t>
      </w:r>
      <w:r w:rsidRPr="00CA74B8">
        <w:rPr>
          <w:rFonts w:ascii="Times New Roman" w:eastAsia="MS Mincho" w:hAnsi="Times New Roman" w:cs="Times New Roman"/>
          <w:kern w:val="0"/>
          <w:sz w:val="20"/>
          <w:szCs w:val="20"/>
          <w:lang w:bidi="ar-SA"/>
          <w14:ligatures w14:val="none"/>
        </w:rPr>
        <w:t>).</w:t>
      </w:r>
    </w:p>
    <w:p w14:paraId="00093596" w14:textId="4AB80496" w:rsidR="008C1A14" w:rsidRPr="00CA74B8" w:rsidRDefault="00F12BAC" w:rsidP="008C1A1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Quelles sont les informations financières clés concernant l’Émetteur ?</w:t>
      </w:r>
    </w:p>
    <w:p w14:paraId="7C597628" w14:textId="144B2582" w:rsidR="008C1A14" w:rsidRPr="00CA74B8" w:rsidRDefault="00F12BAC" w:rsidP="00F12BAC">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Les informations financières de l’Émetteur sont incluses dans les états financiers annuels de l’Émetteur aux 31 décembre 2021 et 31 décembre 2022 (les « </w:t>
      </w:r>
      <w:r w:rsidRPr="00CA74B8">
        <w:rPr>
          <w:rFonts w:ascii="Times New Roman" w:eastAsia="MS Mincho" w:hAnsi="Times New Roman" w:cs="Times New Roman"/>
          <w:b/>
          <w:bCs/>
          <w:kern w:val="0"/>
          <w:sz w:val="20"/>
          <w:szCs w:val="20"/>
          <w:lang w:val="fr-FR" w:bidi="ar-SA"/>
          <w14:ligatures w14:val="none"/>
        </w:rPr>
        <w:t>États Financiers Annuels</w:t>
      </w:r>
      <w:r w:rsidRPr="00CA74B8">
        <w:rPr>
          <w:rFonts w:ascii="Times New Roman" w:eastAsia="MS Mincho" w:hAnsi="Times New Roman" w:cs="Times New Roman"/>
          <w:kern w:val="0"/>
          <w:sz w:val="20"/>
          <w:szCs w:val="20"/>
          <w:lang w:val="fr-FR" w:bidi="ar-SA"/>
          <w14:ligatures w14:val="none"/>
        </w:rPr>
        <w:t xml:space="preserve"> »), ainsi que dans les états financiers intermédiaires de l’Émetteur aux 30 juin 2022 et 30 juin 2023 (les « </w:t>
      </w:r>
      <w:r w:rsidRPr="00CA74B8">
        <w:rPr>
          <w:rFonts w:ascii="Times New Roman" w:eastAsia="MS Mincho" w:hAnsi="Times New Roman" w:cs="Times New Roman"/>
          <w:b/>
          <w:bCs/>
          <w:kern w:val="0"/>
          <w:sz w:val="20"/>
          <w:szCs w:val="20"/>
          <w:lang w:val="fr-FR" w:bidi="ar-SA"/>
          <w14:ligatures w14:val="none"/>
        </w:rPr>
        <w:t>États Financiers Intermédiaires</w:t>
      </w:r>
      <w:r w:rsidRPr="00CA74B8">
        <w:rPr>
          <w:rFonts w:ascii="Times New Roman" w:eastAsia="MS Mincho" w:hAnsi="Times New Roman" w:cs="Times New Roman"/>
          <w:kern w:val="0"/>
          <w:sz w:val="20"/>
          <w:szCs w:val="20"/>
          <w:lang w:val="fr-FR" w:bidi="ar-SA"/>
          <w14:ligatures w14:val="none"/>
        </w:rPr>
        <w:t xml:space="preserve"> » avec les États Financiers Annuels, les </w:t>
      </w:r>
      <w:r w:rsidRPr="00CA74B8">
        <w:rPr>
          <w:rFonts w:ascii="Times New Roman" w:eastAsia="MS Mincho" w:hAnsi="Times New Roman" w:cs="Times New Roman"/>
          <w:b/>
          <w:bCs/>
          <w:kern w:val="0"/>
          <w:sz w:val="20"/>
          <w:szCs w:val="20"/>
          <w:lang w:val="fr-FR" w:bidi="ar-SA"/>
          <w14:ligatures w14:val="none"/>
        </w:rPr>
        <w:t>« États Financiers</w:t>
      </w:r>
      <w:r w:rsidRPr="00CA74B8">
        <w:rPr>
          <w:rFonts w:ascii="Times New Roman" w:eastAsia="MS Mincho" w:hAnsi="Times New Roman" w:cs="Times New Roman"/>
          <w:kern w:val="0"/>
          <w:sz w:val="20"/>
          <w:szCs w:val="20"/>
          <w:lang w:val="fr-FR" w:bidi="ar-SA"/>
          <w14:ligatures w14:val="none"/>
        </w:rPr>
        <w:t xml:space="preserve"> »).</w:t>
      </w:r>
    </w:p>
    <w:p w14:paraId="2B6B76D4" w14:textId="77777777" w:rsidR="00F12BAC" w:rsidRPr="00CA74B8" w:rsidRDefault="00F12BAC" w:rsidP="002D5055">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Les États Financiers ont été préparés conformément aux normes internationales d’information financière (</w:t>
      </w:r>
      <w:r w:rsidRPr="00CA74B8">
        <w:rPr>
          <w:rFonts w:ascii="Times New Roman" w:eastAsia="MS Mincho" w:hAnsi="Times New Roman" w:cs="Times New Roman"/>
          <w:i/>
          <w:iCs/>
          <w:kern w:val="0"/>
          <w:sz w:val="20"/>
          <w:szCs w:val="20"/>
          <w:lang w:val="fr-FR" w:bidi="ar-SA"/>
          <w14:ligatures w14:val="none"/>
        </w:rPr>
        <w:t xml:space="preserve">International </w:t>
      </w:r>
      <w:proofErr w:type="spellStart"/>
      <w:r w:rsidRPr="00CA74B8">
        <w:rPr>
          <w:rFonts w:ascii="Times New Roman" w:eastAsia="MS Mincho" w:hAnsi="Times New Roman" w:cs="Times New Roman"/>
          <w:i/>
          <w:iCs/>
          <w:kern w:val="0"/>
          <w:sz w:val="20"/>
          <w:szCs w:val="20"/>
          <w:lang w:val="fr-FR" w:bidi="ar-SA"/>
          <w14:ligatures w14:val="none"/>
        </w:rPr>
        <w:t>financial</w:t>
      </w:r>
      <w:proofErr w:type="spellEnd"/>
      <w:r w:rsidRPr="00CA74B8">
        <w:rPr>
          <w:rFonts w:ascii="Times New Roman" w:eastAsia="MS Mincho" w:hAnsi="Times New Roman" w:cs="Times New Roman"/>
          <w:i/>
          <w:iCs/>
          <w:kern w:val="0"/>
          <w:sz w:val="20"/>
          <w:szCs w:val="20"/>
          <w:lang w:val="fr-FR" w:bidi="ar-SA"/>
          <w14:ligatures w14:val="none"/>
        </w:rPr>
        <w:t xml:space="preserve"> </w:t>
      </w:r>
      <w:proofErr w:type="spellStart"/>
      <w:r w:rsidRPr="00CA74B8">
        <w:rPr>
          <w:rFonts w:ascii="Times New Roman" w:eastAsia="MS Mincho" w:hAnsi="Times New Roman" w:cs="Times New Roman"/>
          <w:i/>
          <w:iCs/>
          <w:kern w:val="0"/>
          <w:sz w:val="20"/>
          <w:szCs w:val="20"/>
          <w:lang w:val="fr-FR" w:bidi="ar-SA"/>
          <w14:ligatures w14:val="none"/>
        </w:rPr>
        <w:t>reporting</w:t>
      </w:r>
      <w:proofErr w:type="spellEnd"/>
      <w:r w:rsidRPr="00CA74B8">
        <w:rPr>
          <w:rFonts w:ascii="Times New Roman" w:eastAsia="MS Mincho" w:hAnsi="Times New Roman" w:cs="Times New Roman"/>
          <w:i/>
          <w:iCs/>
          <w:kern w:val="0"/>
          <w:sz w:val="20"/>
          <w:szCs w:val="20"/>
          <w:lang w:val="fr-FR" w:bidi="ar-SA"/>
          <w14:ligatures w14:val="none"/>
        </w:rPr>
        <w:t xml:space="preserve"> standards</w:t>
      </w:r>
      <w:r w:rsidRPr="00CA74B8">
        <w:rPr>
          <w:rFonts w:ascii="Times New Roman" w:eastAsia="MS Mincho" w:hAnsi="Times New Roman" w:cs="Times New Roman"/>
          <w:kern w:val="0"/>
          <w:sz w:val="20"/>
          <w:szCs w:val="20"/>
          <w:lang w:val="fr-FR" w:bidi="ar-SA"/>
          <w14:ligatures w14:val="none"/>
        </w:rPr>
        <w:t xml:space="preserve">, « </w:t>
      </w:r>
      <w:r w:rsidRPr="00CA74B8">
        <w:rPr>
          <w:rFonts w:ascii="Times New Roman" w:eastAsia="MS Mincho" w:hAnsi="Times New Roman" w:cs="Times New Roman"/>
          <w:b/>
          <w:bCs/>
          <w:kern w:val="0"/>
          <w:sz w:val="20"/>
          <w:szCs w:val="20"/>
          <w:lang w:val="fr-FR" w:bidi="ar-SA"/>
          <w14:ligatures w14:val="none"/>
        </w:rPr>
        <w:t>IFRS</w:t>
      </w:r>
      <w:r w:rsidRPr="00CA74B8">
        <w:rPr>
          <w:rFonts w:ascii="Times New Roman" w:eastAsia="MS Mincho" w:hAnsi="Times New Roman" w:cs="Times New Roman"/>
          <w:kern w:val="0"/>
          <w:sz w:val="20"/>
          <w:szCs w:val="20"/>
          <w:lang w:val="fr-FR" w:bidi="ar-SA"/>
          <w14:ligatures w14:val="none"/>
        </w:rPr>
        <w:t xml:space="preserve"> »), telles qu’adoptées dans l’Union européenne (l</w:t>
      </w:r>
      <w:proofErr w:type="gramStart"/>
      <w:r w:rsidRPr="00CA74B8">
        <w:rPr>
          <w:rFonts w:ascii="Times New Roman" w:eastAsia="MS Mincho" w:hAnsi="Times New Roman" w:cs="Times New Roman"/>
          <w:kern w:val="0"/>
          <w:sz w:val="20"/>
          <w:szCs w:val="20"/>
          <w:lang w:val="fr-FR" w:bidi="ar-SA"/>
          <w14:ligatures w14:val="none"/>
        </w:rPr>
        <w:t>’«</w:t>
      </w:r>
      <w:proofErr w:type="gramEnd"/>
      <w:r w:rsidRPr="00CA74B8">
        <w:rPr>
          <w:rFonts w:ascii="Times New Roman" w:eastAsia="MS Mincho" w:hAnsi="Times New Roman" w:cs="Times New Roman"/>
          <w:kern w:val="0"/>
          <w:sz w:val="20"/>
          <w:szCs w:val="20"/>
          <w:lang w:val="fr-FR" w:bidi="ar-SA"/>
          <w14:ligatures w14:val="none"/>
        </w:rPr>
        <w:t xml:space="preserve"> </w:t>
      </w:r>
      <w:r w:rsidRPr="00CA74B8">
        <w:rPr>
          <w:rFonts w:ascii="Times New Roman" w:eastAsia="MS Mincho" w:hAnsi="Times New Roman" w:cs="Times New Roman"/>
          <w:b/>
          <w:bCs/>
          <w:kern w:val="0"/>
          <w:sz w:val="20"/>
          <w:szCs w:val="20"/>
          <w:lang w:val="fr-FR" w:bidi="ar-SA"/>
          <w14:ligatures w14:val="none"/>
        </w:rPr>
        <w:t>UE</w:t>
      </w:r>
      <w:r w:rsidRPr="00CA74B8">
        <w:rPr>
          <w:rFonts w:ascii="Times New Roman" w:eastAsia="MS Mincho" w:hAnsi="Times New Roman" w:cs="Times New Roman"/>
          <w:kern w:val="0"/>
          <w:sz w:val="20"/>
          <w:szCs w:val="20"/>
          <w:lang w:val="fr-FR" w:bidi="ar-SA"/>
          <w14:ligatures w14:val="none"/>
        </w:rPr>
        <w:t xml:space="preserve"> »).</w:t>
      </w:r>
    </w:p>
    <w:p w14:paraId="130E8E2B" w14:textId="39131077" w:rsidR="00F12BAC" w:rsidRPr="00CA74B8" w:rsidRDefault="00F12BAC" w:rsidP="002D5055">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Les États Financiers Annuels ont été vérifiés et un rapport d’audit sans réserve a été publié. Les États Financiers Intermédiaires n’ont été ni vérifiés ni examinés par les commissaires aux comptes de l’Émetteur. </w:t>
      </w:r>
    </w:p>
    <w:p w14:paraId="1FAEC0FA" w14:textId="3070CF2E" w:rsidR="00F12BAC" w:rsidRPr="00CA74B8" w:rsidRDefault="00F12BAC" w:rsidP="002D5055">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Les informations financières sélectionnées ci-dessous sont basées et extraites des États Financiers.</w:t>
      </w:r>
    </w:p>
    <w:tbl>
      <w:tblPr>
        <w:tblStyle w:val="TableGrid1"/>
        <w:tblW w:w="9049" w:type="dxa"/>
        <w:tblInd w:w="28" w:type="dxa"/>
        <w:tblLook w:val="04A0" w:firstRow="1" w:lastRow="0" w:firstColumn="1" w:lastColumn="0" w:noHBand="0" w:noVBand="1"/>
      </w:tblPr>
      <w:tblGrid>
        <w:gridCol w:w="2666"/>
        <w:gridCol w:w="1595"/>
        <w:gridCol w:w="1596"/>
        <w:gridCol w:w="1596"/>
        <w:gridCol w:w="1596"/>
      </w:tblGrid>
      <w:tr w:rsidR="008C1A14" w:rsidRPr="00CA74B8" w14:paraId="25F2E2E9" w14:textId="77777777" w:rsidTr="004922E9">
        <w:tc>
          <w:tcPr>
            <w:tcW w:w="2666" w:type="dxa"/>
            <w:tcBorders>
              <w:top w:val="nil"/>
              <w:left w:val="nil"/>
            </w:tcBorders>
          </w:tcPr>
          <w:p w14:paraId="7AEA8E78" w14:textId="4699B440" w:rsidR="008C1A14" w:rsidRPr="00CA74B8" w:rsidRDefault="00A82619" w:rsidP="00A82619">
            <w:pPr>
              <w:spacing w:after="180"/>
              <w:rPr>
                <w:rFonts w:ascii="Times New Roman" w:eastAsia="Calibri" w:hAnsi="Times New Roman" w:cs="Times New Roman"/>
                <w:b/>
                <w:sz w:val="20"/>
                <w:szCs w:val="20"/>
                <w:lang w:val="fr-FR"/>
              </w:rPr>
            </w:pPr>
            <w:r w:rsidRPr="00CA74B8">
              <w:rPr>
                <w:rFonts w:ascii="Times New Roman" w:eastAsia="Calibri" w:hAnsi="Times New Roman" w:cs="Times New Roman"/>
                <w:b/>
                <w:sz w:val="20"/>
                <w:szCs w:val="20"/>
                <w:lang w:val="fr-FR"/>
              </w:rPr>
              <w:t xml:space="preserve">Compte de résultat </w:t>
            </w:r>
            <w:r w:rsidRPr="00CA74B8">
              <w:rPr>
                <w:rFonts w:ascii="Times New Roman" w:eastAsia="Calibri" w:hAnsi="Times New Roman" w:cs="Times New Roman"/>
                <w:b/>
                <w:sz w:val="20"/>
                <w:szCs w:val="20"/>
                <w:lang w:val="fr-FR"/>
              </w:rPr>
              <w:br/>
              <w:t>(en EUR)</w:t>
            </w:r>
          </w:p>
        </w:tc>
        <w:tc>
          <w:tcPr>
            <w:tcW w:w="1595" w:type="dxa"/>
            <w:shd w:val="clear" w:color="auto" w:fill="D9D9D9"/>
          </w:tcPr>
          <w:p w14:paraId="13688D01" w14:textId="7E62126A" w:rsidR="008C1A14" w:rsidRPr="00CA74B8" w:rsidRDefault="002D5055" w:rsidP="002D5055">
            <w:pPr>
              <w:spacing w:after="180"/>
              <w:jc w:val="right"/>
              <w:rPr>
                <w:rFonts w:ascii="Times New Roman" w:eastAsia="Calibri" w:hAnsi="Times New Roman" w:cs="Times New Roman"/>
                <w:b/>
                <w:sz w:val="20"/>
                <w:szCs w:val="20"/>
                <w:lang w:val="fr-FR"/>
              </w:rPr>
            </w:pPr>
            <w:r w:rsidRPr="00CA74B8">
              <w:rPr>
                <w:rFonts w:ascii="Times New Roman" w:eastAsia="Calibri" w:hAnsi="Times New Roman" w:cs="Times New Roman"/>
                <w:b/>
                <w:sz w:val="20"/>
                <w:szCs w:val="20"/>
                <w:lang w:val="fr-FR"/>
              </w:rPr>
              <w:t>Six mois clôturés</w:t>
            </w:r>
            <w:r w:rsidR="008C1A14" w:rsidRPr="00CA74B8">
              <w:rPr>
                <w:rFonts w:ascii="Times New Roman" w:eastAsia="Calibri" w:hAnsi="Times New Roman" w:cs="Times New Roman"/>
                <w:b/>
                <w:sz w:val="20"/>
                <w:szCs w:val="20"/>
                <w:lang w:val="fr-FR"/>
              </w:rPr>
              <w:br/>
            </w:r>
            <w:r w:rsidRPr="00CA74B8">
              <w:rPr>
                <w:rFonts w:ascii="Times New Roman" w:eastAsia="Calibri" w:hAnsi="Times New Roman" w:cs="Times New Roman"/>
                <w:b/>
                <w:sz w:val="20"/>
                <w:szCs w:val="20"/>
                <w:lang w:val="fr-FR"/>
              </w:rPr>
              <w:t xml:space="preserve">30 juin </w:t>
            </w:r>
            <w:r w:rsidR="008C1A14" w:rsidRPr="00CA74B8">
              <w:rPr>
                <w:rFonts w:ascii="Times New Roman" w:eastAsia="Calibri" w:hAnsi="Times New Roman" w:cs="Times New Roman"/>
                <w:b/>
                <w:sz w:val="20"/>
                <w:szCs w:val="20"/>
                <w:lang w:val="fr-FR"/>
              </w:rPr>
              <w:t>2023</w:t>
            </w:r>
            <w:r w:rsidR="008C1A14" w:rsidRPr="00CA74B8">
              <w:rPr>
                <w:rFonts w:ascii="Times New Roman" w:eastAsia="Calibri" w:hAnsi="Times New Roman" w:cs="Times New Roman"/>
                <w:b/>
                <w:sz w:val="20"/>
                <w:szCs w:val="20"/>
                <w:lang w:val="fr-FR"/>
              </w:rPr>
              <w:br/>
              <w:t>(</w:t>
            </w:r>
            <w:r w:rsidRPr="00CA74B8">
              <w:rPr>
                <w:rFonts w:ascii="Times New Roman" w:eastAsia="Calibri" w:hAnsi="Times New Roman" w:cs="Times New Roman"/>
                <w:b/>
                <w:sz w:val="20"/>
                <w:szCs w:val="20"/>
                <w:lang w:val="fr-FR"/>
              </w:rPr>
              <w:t>non</w:t>
            </w:r>
            <w:r w:rsidR="00D12E0A" w:rsidRPr="00CA74B8">
              <w:rPr>
                <w:rFonts w:ascii="Times New Roman" w:eastAsia="Calibri" w:hAnsi="Times New Roman" w:cs="Times New Roman"/>
                <w:b/>
                <w:sz w:val="20"/>
                <w:szCs w:val="20"/>
                <w:lang w:val="fr-FR"/>
              </w:rPr>
              <w:t>-</w:t>
            </w:r>
            <w:r w:rsidRPr="00CA74B8">
              <w:rPr>
                <w:rFonts w:ascii="Times New Roman" w:eastAsia="Calibri" w:hAnsi="Times New Roman" w:cs="Times New Roman"/>
                <w:b/>
                <w:sz w:val="20"/>
                <w:szCs w:val="20"/>
                <w:lang w:val="fr-FR"/>
              </w:rPr>
              <w:t>audités</w:t>
            </w:r>
            <w:r w:rsidR="008C1A14" w:rsidRPr="00CA74B8">
              <w:rPr>
                <w:rFonts w:ascii="Times New Roman" w:eastAsia="Calibri" w:hAnsi="Times New Roman" w:cs="Times New Roman"/>
                <w:b/>
                <w:sz w:val="20"/>
                <w:szCs w:val="20"/>
                <w:lang w:val="fr-FR"/>
              </w:rPr>
              <w:t>)</w:t>
            </w:r>
          </w:p>
        </w:tc>
        <w:tc>
          <w:tcPr>
            <w:tcW w:w="1596" w:type="dxa"/>
            <w:shd w:val="clear" w:color="auto" w:fill="D9D9D9"/>
          </w:tcPr>
          <w:p w14:paraId="2CF61922" w14:textId="1369733B" w:rsidR="008C1A14" w:rsidRPr="00CA74B8" w:rsidRDefault="002D5055" w:rsidP="002D5055">
            <w:pPr>
              <w:spacing w:after="180"/>
              <w:jc w:val="right"/>
              <w:rPr>
                <w:rFonts w:ascii="Times New Roman" w:eastAsia="Calibri" w:hAnsi="Times New Roman" w:cs="Times New Roman"/>
                <w:b/>
                <w:sz w:val="20"/>
                <w:szCs w:val="20"/>
                <w:lang w:val="fr-FR"/>
              </w:rPr>
            </w:pPr>
            <w:r w:rsidRPr="00CA74B8">
              <w:rPr>
                <w:rFonts w:ascii="Times New Roman" w:eastAsia="Calibri" w:hAnsi="Times New Roman" w:cs="Times New Roman"/>
                <w:b/>
                <w:sz w:val="20"/>
                <w:szCs w:val="20"/>
                <w:lang w:val="fr-FR"/>
              </w:rPr>
              <w:t>Six mois clôturés</w:t>
            </w:r>
            <w:r w:rsidR="008C1A14" w:rsidRPr="00CA74B8">
              <w:rPr>
                <w:rFonts w:ascii="Times New Roman" w:eastAsia="Calibri" w:hAnsi="Times New Roman" w:cs="Times New Roman"/>
                <w:b/>
                <w:sz w:val="20"/>
                <w:szCs w:val="20"/>
                <w:lang w:val="fr-FR"/>
              </w:rPr>
              <w:br/>
            </w:r>
            <w:r w:rsidRPr="00CA74B8">
              <w:rPr>
                <w:rFonts w:ascii="Times New Roman" w:eastAsia="Calibri" w:hAnsi="Times New Roman" w:cs="Times New Roman"/>
                <w:b/>
                <w:sz w:val="20"/>
                <w:szCs w:val="20"/>
                <w:lang w:val="fr-FR"/>
              </w:rPr>
              <w:t xml:space="preserve">30 juin </w:t>
            </w:r>
            <w:r w:rsidR="008C1A14" w:rsidRPr="00CA74B8">
              <w:rPr>
                <w:rFonts w:ascii="Times New Roman" w:eastAsia="Calibri" w:hAnsi="Times New Roman" w:cs="Times New Roman"/>
                <w:b/>
                <w:sz w:val="20"/>
                <w:szCs w:val="20"/>
                <w:lang w:val="fr-FR"/>
              </w:rPr>
              <w:t>2022</w:t>
            </w:r>
            <w:r w:rsidR="008C1A14" w:rsidRPr="00CA74B8">
              <w:rPr>
                <w:rFonts w:ascii="Times New Roman" w:eastAsia="Calibri" w:hAnsi="Times New Roman" w:cs="Times New Roman"/>
                <w:b/>
                <w:sz w:val="20"/>
                <w:szCs w:val="20"/>
                <w:lang w:val="fr-FR"/>
              </w:rPr>
              <w:br/>
              <w:t>(</w:t>
            </w:r>
            <w:r w:rsidRPr="00CA74B8">
              <w:rPr>
                <w:rFonts w:ascii="Times New Roman" w:eastAsia="Calibri" w:hAnsi="Times New Roman" w:cs="Times New Roman"/>
                <w:b/>
                <w:bCs/>
                <w:sz w:val="20"/>
                <w:szCs w:val="20"/>
                <w:lang w:val="fr-FR"/>
              </w:rPr>
              <w:t>non</w:t>
            </w:r>
            <w:r w:rsidR="00D12E0A" w:rsidRPr="00CA74B8">
              <w:rPr>
                <w:rFonts w:ascii="Times New Roman" w:eastAsia="Calibri" w:hAnsi="Times New Roman" w:cs="Times New Roman"/>
                <w:b/>
                <w:bCs/>
                <w:sz w:val="20"/>
                <w:szCs w:val="20"/>
                <w:lang w:val="fr-FR"/>
              </w:rPr>
              <w:t>-</w:t>
            </w:r>
            <w:r w:rsidRPr="00CA74B8">
              <w:rPr>
                <w:rFonts w:ascii="Times New Roman" w:eastAsia="Calibri" w:hAnsi="Times New Roman" w:cs="Times New Roman"/>
                <w:b/>
                <w:bCs/>
                <w:sz w:val="20"/>
                <w:szCs w:val="20"/>
                <w:lang w:val="fr-FR"/>
              </w:rPr>
              <w:t>audités</w:t>
            </w:r>
            <w:r w:rsidR="008C1A14" w:rsidRPr="00CA74B8">
              <w:rPr>
                <w:rFonts w:ascii="Times New Roman" w:eastAsia="Calibri" w:hAnsi="Times New Roman" w:cs="Times New Roman"/>
                <w:b/>
                <w:sz w:val="20"/>
                <w:szCs w:val="20"/>
                <w:lang w:val="fr-FR"/>
              </w:rPr>
              <w:t>)</w:t>
            </w:r>
          </w:p>
        </w:tc>
        <w:tc>
          <w:tcPr>
            <w:tcW w:w="1596" w:type="dxa"/>
            <w:shd w:val="clear" w:color="auto" w:fill="D9D9D9"/>
          </w:tcPr>
          <w:p w14:paraId="782F08E9" w14:textId="183E5711" w:rsidR="008C1A14" w:rsidRPr="00CA74B8" w:rsidRDefault="008C1A14" w:rsidP="008C1A14">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rPr>
              <w:t>2022</w:t>
            </w:r>
          </w:p>
        </w:tc>
        <w:tc>
          <w:tcPr>
            <w:tcW w:w="1596" w:type="dxa"/>
            <w:shd w:val="clear" w:color="auto" w:fill="D9D9D9"/>
          </w:tcPr>
          <w:p w14:paraId="3F75D180" w14:textId="2DB44F40" w:rsidR="008C1A14" w:rsidRPr="00CA74B8" w:rsidRDefault="008C1A14" w:rsidP="008C1A14">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rPr>
              <w:t>2021</w:t>
            </w:r>
          </w:p>
        </w:tc>
      </w:tr>
      <w:tr w:rsidR="008C1A14" w:rsidRPr="00CA74B8" w14:paraId="4F726EF3" w14:textId="77777777" w:rsidTr="004922E9">
        <w:tc>
          <w:tcPr>
            <w:tcW w:w="2666" w:type="dxa"/>
          </w:tcPr>
          <w:p w14:paraId="71F7BC17" w14:textId="1A0CF479" w:rsidR="008C1A14" w:rsidRPr="00CA74B8" w:rsidRDefault="00A82619" w:rsidP="008C1A14">
            <w:pPr>
              <w:spacing w:after="180"/>
              <w:rPr>
                <w:rFonts w:ascii="Times New Roman" w:eastAsia="Calibri" w:hAnsi="Times New Roman" w:cs="Times New Roman"/>
                <w:sz w:val="20"/>
                <w:szCs w:val="20"/>
              </w:rPr>
            </w:pPr>
            <w:proofErr w:type="spellStart"/>
            <w:r w:rsidRPr="00CA74B8">
              <w:rPr>
                <w:rFonts w:ascii="Times New Roman" w:eastAsia="Calibri" w:hAnsi="Times New Roman" w:cs="Times New Roman"/>
                <w:sz w:val="20"/>
                <w:szCs w:val="20"/>
              </w:rPr>
              <w:t>Résultat</w:t>
            </w:r>
            <w:proofErr w:type="spellEnd"/>
            <w:r w:rsidRPr="00CA74B8">
              <w:rPr>
                <w:rFonts w:ascii="Times New Roman" w:eastAsia="Calibri" w:hAnsi="Times New Roman" w:cs="Times New Roman"/>
                <w:sz w:val="20"/>
                <w:szCs w:val="20"/>
              </w:rPr>
              <w:t xml:space="preserve"> </w:t>
            </w:r>
            <w:proofErr w:type="spellStart"/>
            <w:r w:rsidRPr="00CA74B8">
              <w:rPr>
                <w:rFonts w:ascii="Times New Roman" w:eastAsia="Calibri" w:hAnsi="Times New Roman" w:cs="Times New Roman"/>
                <w:sz w:val="20"/>
                <w:szCs w:val="20"/>
              </w:rPr>
              <w:t>d’exploitation</w:t>
            </w:r>
            <w:proofErr w:type="spellEnd"/>
          </w:p>
        </w:tc>
        <w:tc>
          <w:tcPr>
            <w:tcW w:w="1595" w:type="dxa"/>
            <w:shd w:val="clear" w:color="auto" w:fill="auto"/>
          </w:tcPr>
          <w:p w14:paraId="47F7A814" w14:textId="79511FF7"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207,540</w:t>
            </w:r>
          </w:p>
        </w:tc>
        <w:tc>
          <w:tcPr>
            <w:tcW w:w="1596" w:type="dxa"/>
            <w:shd w:val="clear" w:color="auto" w:fill="auto"/>
          </w:tcPr>
          <w:p w14:paraId="02F7EC7F" w14:textId="38443F24"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280,349</w:t>
            </w:r>
          </w:p>
        </w:tc>
        <w:tc>
          <w:tcPr>
            <w:tcW w:w="1596" w:type="dxa"/>
            <w:shd w:val="clear" w:color="auto" w:fill="auto"/>
          </w:tcPr>
          <w:p w14:paraId="7C3886D2" w14:textId="2D371E06"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142,298</w:t>
            </w:r>
          </w:p>
        </w:tc>
        <w:tc>
          <w:tcPr>
            <w:tcW w:w="1596" w:type="dxa"/>
            <w:shd w:val="clear" w:color="auto" w:fill="auto"/>
          </w:tcPr>
          <w:p w14:paraId="1F991975" w14:textId="36878CC5"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109,751</w:t>
            </w:r>
          </w:p>
        </w:tc>
      </w:tr>
    </w:tbl>
    <w:p w14:paraId="74174B1F" w14:textId="77777777" w:rsidR="008C1A14" w:rsidRPr="00CA74B8" w:rsidRDefault="008C1A14" w:rsidP="008C1A14">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8C1A14" w:rsidRPr="00CA74B8" w14:paraId="24F02F7B" w14:textId="77777777" w:rsidTr="004922E9">
        <w:tc>
          <w:tcPr>
            <w:tcW w:w="2666" w:type="dxa"/>
            <w:tcBorders>
              <w:top w:val="nil"/>
              <w:left w:val="nil"/>
            </w:tcBorders>
          </w:tcPr>
          <w:p w14:paraId="3CA9E537" w14:textId="5BAA07F0" w:rsidR="008C1A14" w:rsidRPr="00CA74B8" w:rsidRDefault="002D5055" w:rsidP="002D5055">
            <w:pPr>
              <w:spacing w:after="180"/>
              <w:rPr>
                <w:rFonts w:ascii="Times New Roman" w:eastAsia="Calibri" w:hAnsi="Times New Roman" w:cs="Times New Roman"/>
                <w:b/>
                <w:sz w:val="20"/>
                <w:szCs w:val="20"/>
              </w:rPr>
            </w:pPr>
            <w:r w:rsidRPr="00CA74B8">
              <w:rPr>
                <w:rFonts w:ascii="Times New Roman" w:eastAsia="Calibri" w:hAnsi="Times New Roman" w:cs="Times New Roman"/>
                <w:b/>
                <w:sz w:val="20"/>
                <w:szCs w:val="20"/>
                <w:lang w:val="de-DE"/>
              </w:rPr>
              <w:t xml:space="preserve">Bilan </w:t>
            </w:r>
            <w:r w:rsidRPr="00CA74B8">
              <w:rPr>
                <w:rFonts w:ascii="Times New Roman" w:eastAsia="Calibri" w:hAnsi="Times New Roman" w:cs="Times New Roman"/>
                <w:b/>
                <w:sz w:val="20"/>
                <w:szCs w:val="20"/>
                <w:lang w:val="de-DE"/>
              </w:rPr>
              <w:br/>
              <w:t>(en EUR)</w:t>
            </w:r>
          </w:p>
        </w:tc>
        <w:tc>
          <w:tcPr>
            <w:tcW w:w="1594" w:type="dxa"/>
            <w:shd w:val="clear" w:color="auto" w:fill="D9D9D9"/>
          </w:tcPr>
          <w:p w14:paraId="5CCB39AF" w14:textId="4F7668B0" w:rsidR="008C1A14" w:rsidRPr="00CA74B8" w:rsidRDefault="002D5055" w:rsidP="002D5055">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lang w:val="de-DE"/>
              </w:rPr>
              <w:t xml:space="preserve">30 juin </w:t>
            </w:r>
            <w:r w:rsidR="008C1A14" w:rsidRPr="00CA74B8">
              <w:rPr>
                <w:rFonts w:ascii="Times New Roman" w:eastAsia="Calibri" w:hAnsi="Times New Roman" w:cs="Times New Roman"/>
                <w:b/>
                <w:sz w:val="20"/>
                <w:szCs w:val="20"/>
              </w:rPr>
              <w:t>2023</w:t>
            </w:r>
            <w:r w:rsidR="008C1A14" w:rsidRPr="00CA74B8">
              <w:rPr>
                <w:rFonts w:ascii="Times New Roman" w:eastAsia="Calibri" w:hAnsi="Times New Roman" w:cs="Times New Roman"/>
                <w:b/>
                <w:sz w:val="20"/>
                <w:szCs w:val="20"/>
              </w:rPr>
              <w:br/>
              <w:t>(</w:t>
            </w:r>
            <w:r w:rsidRPr="00CA74B8">
              <w:rPr>
                <w:rFonts w:ascii="Times New Roman" w:eastAsia="Calibri" w:hAnsi="Times New Roman" w:cs="Times New Roman"/>
                <w:b/>
                <w:bCs/>
                <w:sz w:val="20"/>
                <w:szCs w:val="20"/>
                <w:lang w:val="de-DE"/>
              </w:rPr>
              <w:t>non</w:t>
            </w:r>
            <w:r w:rsidR="00D12E0A" w:rsidRPr="00CA74B8">
              <w:rPr>
                <w:rFonts w:ascii="Times New Roman" w:eastAsia="Calibri" w:hAnsi="Times New Roman" w:cs="Times New Roman"/>
                <w:b/>
                <w:bCs/>
                <w:sz w:val="20"/>
                <w:szCs w:val="20"/>
                <w:lang w:val="de-DE"/>
              </w:rPr>
              <w:t>-</w:t>
            </w:r>
            <w:r w:rsidRPr="00CA74B8">
              <w:rPr>
                <w:rFonts w:ascii="Times New Roman" w:eastAsia="Calibri" w:hAnsi="Times New Roman" w:cs="Times New Roman"/>
                <w:b/>
                <w:bCs/>
                <w:sz w:val="20"/>
                <w:szCs w:val="20"/>
                <w:lang w:val="de-DE"/>
              </w:rPr>
              <w:t>audités</w:t>
            </w:r>
            <w:r w:rsidR="008C1A14" w:rsidRPr="00CA74B8">
              <w:rPr>
                <w:rFonts w:ascii="Times New Roman" w:eastAsia="Calibri" w:hAnsi="Times New Roman" w:cs="Times New Roman"/>
                <w:b/>
                <w:sz w:val="20"/>
                <w:szCs w:val="20"/>
              </w:rPr>
              <w:t>)</w:t>
            </w:r>
          </w:p>
        </w:tc>
        <w:tc>
          <w:tcPr>
            <w:tcW w:w="1594" w:type="dxa"/>
            <w:shd w:val="clear" w:color="auto" w:fill="D9D9D9"/>
          </w:tcPr>
          <w:p w14:paraId="7B70CC15" w14:textId="0C9B0201" w:rsidR="008C1A14" w:rsidRPr="00CA74B8" w:rsidRDefault="002D5055" w:rsidP="002D5055">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lang w:val="de-DE"/>
              </w:rPr>
              <w:t xml:space="preserve">30 juin </w:t>
            </w:r>
            <w:r w:rsidR="008C1A14" w:rsidRPr="00CA74B8">
              <w:rPr>
                <w:rFonts w:ascii="Times New Roman" w:eastAsia="Calibri" w:hAnsi="Times New Roman" w:cs="Times New Roman"/>
                <w:b/>
                <w:sz w:val="20"/>
                <w:szCs w:val="20"/>
              </w:rPr>
              <w:t>2022</w:t>
            </w:r>
            <w:r w:rsidR="008C1A14" w:rsidRPr="00CA74B8">
              <w:rPr>
                <w:rFonts w:ascii="Times New Roman" w:eastAsia="Calibri" w:hAnsi="Times New Roman" w:cs="Times New Roman"/>
                <w:b/>
                <w:sz w:val="20"/>
                <w:szCs w:val="20"/>
              </w:rPr>
              <w:br/>
              <w:t>(</w:t>
            </w:r>
            <w:r w:rsidRPr="00CA74B8">
              <w:rPr>
                <w:rFonts w:ascii="Times New Roman" w:eastAsia="Calibri" w:hAnsi="Times New Roman" w:cs="Times New Roman"/>
                <w:b/>
                <w:bCs/>
                <w:sz w:val="20"/>
                <w:szCs w:val="20"/>
                <w:lang w:val="de-DE"/>
              </w:rPr>
              <w:t>non</w:t>
            </w:r>
            <w:r w:rsidR="00D12E0A" w:rsidRPr="00CA74B8">
              <w:rPr>
                <w:rFonts w:ascii="Times New Roman" w:eastAsia="Calibri" w:hAnsi="Times New Roman" w:cs="Times New Roman"/>
                <w:b/>
                <w:bCs/>
                <w:sz w:val="20"/>
                <w:szCs w:val="20"/>
                <w:lang w:val="de-DE"/>
              </w:rPr>
              <w:t>-</w:t>
            </w:r>
            <w:r w:rsidRPr="00CA74B8">
              <w:rPr>
                <w:rFonts w:ascii="Times New Roman" w:eastAsia="Calibri" w:hAnsi="Times New Roman" w:cs="Times New Roman"/>
                <w:b/>
                <w:bCs/>
                <w:sz w:val="20"/>
                <w:szCs w:val="20"/>
                <w:lang w:val="de-DE"/>
              </w:rPr>
              <w:t>audités</w:t>
            </w:r>
            <w:r w:rsidR="008C1A14" w:rsidRPr="00CA74B8">
              <w:rPr>
                <w:rFonts w:ascii="Times New Roman" w:eastAsia="Calibri" w:hAnsi="Times New Roman" w:cs="Times New Roman"/>
                <w:b/>
                <w:sz w:val="20"/>
                <w:szCs w:val="20"/>
              </w:rPr>
              <w:t>)</w:t>
            </w:r>
          </w:p>
        </w:tc>
        <w:tc>
          <w:tcPr>
            <w:tcW w:w="1595" w:type="dxa"/>
            <w:shd w:val="clear" w:color="auto" w:fill="D9D9D9"/>
          </w:tcPr>
          <w:p w14:paraId="315235D8" w14:textId="0CDF9B92" w:rsidR="008C1A14" w:rsidRPr="00CA74B8" w:rsidRDefault="002D5055" w:rsidP="002D5055">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lang w:val="de-DE"/>
              </w:rPr>
              <w:t xml:space="preserve">31 décembre </w:t>
            </w:r>
            <w:r w:rsidR="008C1A14" w:rsidRPr="00CA74B8">
              <w:rPr>
                <w:rFonts w:ascii="Times New Roman" w:eastAsia="Calibri" w:hAnsi="Times New Roman" w:cs="Times New Roman"/>
                <w:b/>
                <w:sz w:val="20"/>
                <w:szCs w:val="20"/>
              </w:rPr>
              <w:t>2022</w:t>
            </w:r>
          </w:p>
        </w:tc>
        <w:tc>
          <w:tcPr>
            <w:tcW w:w="1595" w:type="dxa"/>
            <w:shd w:val="clear" w:color="auto" w:fill="D9D9D9"/>
          </w:tcPr>
          <w:p w14:paraId="39E86ED2" w14:textId="7780EA7C" w:rsidR="008C1A14" w:rsidRPr="00CA74B8" w:rsidRDefault="002D5055" w:rsidP="002D5055">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lang w:val="de-DE"/>
              </w:rPr>
              <w:t xml:space="preserve">31 décembre </w:t>
            </w:r>
            <w:r w:rsidR="008C1A14" w:rsidRPr="00CA74B8">
              <w:rPr>
                <w:rFonts w:ascii="Times New Roman" w:eastAsia="Calibri" w:hAnsi="Times New Roman" w:cs="Times New Roman"/>
                <w:b/>
                <w:sz w:val="20"/>
                <w:szCs w:val="20"/>
              </w:rPr>
              <w:t>2021</w:t>
            </w:r>
          </w:p>
        </w:tc>
      </w:tr>
      <w:tr w:rsidR="008C1A14" w:rsidRPr="00CA74B8" w14:paraId="07A55A8C" w14:textId="77777777" w:rsidTr="004922E9">
        <w:tc>
          <w:tcPr>
            <w:tcW w:w="2666" w:type="dxa"/>
          </w:tcPr>
          <w:p w14:paraId="2D5A3636" w14:textId="10529199" w:rsidR="008C1A14" w:rsidRPr="00CA74B8" w:rsidRDefault="002D5055" w:rsidP="008C1A14">
            <w:pPr>
              <w:spacing w:after="180"/>
              <w:rPr>
                <w:rFonts w:ascii="Times New Roman" w:eastAsia="Calibri" w:hAnsi="Times New Roman" w:cs="Times New Roman"/>
                <w:sz w:val="20"/>
                <w:szCs w:val="20"/>
              </w:rPr>
            </w:pPr>
            <w:r w:rsidRPr="00CA74B8">
              <w:rPr>
                <w:rFonts w:ascii="Times New Roman" w:eastAsia="Calibri" w:hAnsi="Times New Roman" w:cs="Times New Roman"/>
                <w:sz w:val="20"/>
                <w:szCs w:val="20"/>
              </w:rPr>
              <w:t xml:space="preserve">Dette financière </w:t>
            </w:r>
            <w:proofErr w:type="spellStart"/>
            <w:r w:rsidRPr="00CA74B8">
              <w:rPr>
                <w:rFonts w:ascii="Times New Roman" w:eastAsia="Calibri" w:hAnsi="Times New Roman" w:cs="Times New Roman"/>
                <w:sz w:val="20"/>
                <w:szCs w:val="20"/>
              </w:rPr>
              <w:t>nette</w:t>
            </w:r>
            <w:proofErr w:type="spellEnd"/>
          </w:p>
        </w:tc>
        <w:tc>
          <w:tcPr>
            <w:tcW w:w="1594" w:type="dxa"/>
          </w:tcPr>
          <w:p w14:paraId="78DE75C1" w14:textId="44A4402A"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671,474,280</w:t>
            </w:r>
          </w:p>
        </w:tc>
        <w:tc>
          <w:tcPr>
            <w:tcW w:w="1594" w:type="dxa"/>
          </w:tcPr>
          <w:p w14:paraId="0958598A" w14:textId="2927A51A"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368,787,100</w:t>
            </w:r>
          </w:p>
        </w:tc>
        <w:tc>
          <w:tcPr>
            <w:tcW w:w="1595" w:type="dxa"/>
          </w:tcPr>
          <w:p w14:paraId="1D6FB051" w14:textId="70F58D84"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297,516,002</w:t>
            </w:r>
          </w:p>
        </w:tc>
        <w:tc>
          <w:tcPr>
            <w:tcW w:w="1595" w:type="dxa"/>
          </w:tcPr>
          <w:p w14:paraId="60CBDB35" w14:textId="1742EE34"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1,010,038,300</w:t>
            </w:r>
          </w:p>
        </w:tc>
      </w:tr>
    </w:tbl>
    <w:p w14:paraId="6D8F5B9D" w14:textId="77777777" w:rsidR="008C1A14" w:rsidRPr="00CA74B8" w:rsidRDefault="008C1A14" w:rsidP="008C1A14">
      <w:pPr>
        <w:spacing w:after="0" w:line="240" w:lineRule="auto"/>
        <w:jc w:val="both"/>
        <w:rPr>
          <w:rFonts w:ascii="Times New Roman" w:eastAsia="MS Mincho" w:hAnsi="Times New Roman" w:cs="Times New Roman"/>
          <w:kern w:val="0"/>
          <w:sz w:val="20"/>
          <w:szCs w:val="20"/>
          <w:lang w:val="en-US" w:bidi="ar-SA"/>
          <w14:ligatures w14:val="none"/>
        </w:rPr>
      </w:pPr>
    </w:p>
    <w:tbl>
      <w:tblPr>
        <w:tblStyle w:val="TableGrid1"/>
        <w:tblW w:w="9044" w:type="dxa"/>
        <w:tblInd w:w="28" w:type="dxa"/>
        <w:tblLook w:val="04A0" w:firstRow="1" w:lastRow="0" w:firstColumn="1" w:lastColumn="0" w:noHBand="0" w:noVBand="1"/>
      </w:tblPr>
      <w:tblGrid>
        <w:gridCol w:w="2666"/>
        <w:gridCol w:w="1594"/>
        <w:gridCol w:w="1594"/>
        <w:gridCol w:w="1595"/>
        <w:gridCol w:w="1595"/>
      </w:tblGrid>
      <w:tr w:rsidR="008C1A14" w:rsidRPr="00CA74B8" w14:paraId="2E4CDE49" w14:textId="77777777" w:rsidTr="004922E9">
        <w:tc>
          <w:tcPr>
            <w:tcW w:w="2666" w:type="dxa"/>
            <w:tcBorders>
              <w:top w:val="nil"/>
              <w:left w:val="nil"/>
            </w:tcBorders>
          </w:tcPr>
          <w:p w14:paraId="2FBA7D10" w14:textId="58488BDD" w:rsidR="008C1A14" w:rsidRPr="00CA74B8" w:rsidRDefault="002D5055" w:rsidP="002D5055">
            <w:pPr>
              <w:spacing w:after="180"/>
              <w:rPr>
                <w:rFonts w:ascii="Times New Roman" w:eastAsia="Calibri" w:hAnsi="Times New Roman" w:cs="Times New Roman"/>
                <w:b/>
                <w:sz w:val="20"/>
                <w:szCs w:val="20"/>
                <w:lang w:val="fr-FR"/>
              </w:rPr>
            </w:pPr>
            <w:r w:rsidRPr="00CA74B8">
              <w:rPr>
                <w:rFonts w:ascii="Times New Roman" w:eastAsia="Calibri" w:hAnsi="Times New Roman" w:cs="Times New Roman"/>
                <w:b/>
                <w:sz w:val="20"/>
                <w:szCs w:val="20"/>
                <w:lang w:val="fr-FR"/>
              </w:rPr>
              <w:t xml:space="preserve">Tableaux des flux de trésorerie </w:t>
            </w:r>
            <w:r w:rsidRPr="00CA74B8">
              <w:rPr>
                <w:rFonts w:ascii="Times New Roman" w:eastAsia="Calibri" w:hAnsi="Times New Roman" w:cs="Times New Roman"/>
                <w:b/>
                <w:sz w:val="20"/>
                <w:szCs w:val="20"/>
                <w:lang w:val="fr-FR"/>
              </w:rPr>
              <w:br/>
              <w:t>(en EUR)</w:t>
            </w:r>
          </w:p>
        </w:tc>
        <w:tc>
          <w:tcPr>
            <w:tcW w:w="1594" w:type="dxa"/>
            <w:shd w:val="clear" w:color="auto" w:fill="D9D9D9"/>
          </w:tcPr>
          <w:p w14:paraId="205C9F5D" w14:textId="31A8A094" w:rsidR="008C1A14" w:rsidRPr="00CA74B8" w:rsidRDefault="002D5055" w:rsidP="002D5055">
            <w:pPr>
              <w:spacing w:after="180"/>
              <w:jc w:val="right"/>
              <w:rPr>
                <w:rFonts w:ascii="Times New Roman" w:eastAsia="Calibri" w:hAnsi="Times New Roman" w:cs="Times New Roman"/>
                <w:b/>
                <w:sz w:val="20"/>
                <w:szCs w:val="20"/>
                <w:lang w:val="fr-FR"/>
              </w:rPr>
            </w:pPr>
            <w:r w:rsidRPr="00CA74B8">
              <w:rPr>
                <w:rFonts w:ascii="Times New Roman" w:eastAsia="Calibri" w:hAnsi="Times New Roman" w:cs="Times New Roman"/>
                <w:b/>
                <w:sz w:val="20"/>
                <w:szCs w:val="20"/>
                <w:lang w:val="fr-FR"/>
              </w:rPr>
              <w:t>Six mois clôturés</w:t>
            </w:r>
            <w:r w:rsidR="008C1A14" w:rsidRPr="00CA74B8">
              <w:rPr>
                <w:rFonts w:ascii="Times New Roman" w:eastAsia="Calibri" w:hAnsi="Times New Roman" w:cs="Times New Roman"/>
                <w:b/>
                <w:sz w:val="20"/>
                <w:szCs w:val="20"/>
                <w:lang w:val="fr-FR"/>
              </w:rPr>
              <w:t xml:space="preserve"> </w:t>
            </w:r>
            <w:r w:rsidR="008C1A14" w:rsidRPr="00CA74B8">
              <w:rPr>
                <w:rFonts w:ascii="Times New Roman" w:eastAsia="Calibri" w:hAnsi="Times New Roman" w:cs="Times New Roman"/>
                <w:b/>
                <w:sz w:val="20"/>
                <w:szCs w:val="20"/>
                <w:lang w:val="fr-FR"/>
              </w:rPr>
              <w:br/>
            </w:r>
            <w:r w:rsidRPr="00CA74B8">
              <w:rPr>
                <w:rFonts w:ascii="Times New Roman" w:eastAsia="Calibri" w:hAnsi="Times New Roman" w:cs="Times New Roman"/>
                <w:b/>
                <w:sz w:val="20"/>
                <w:szCs w:val="20"/>
                <w:lang w:val="fr-FR"/>
              </w:rPr>
              <w:t xml:space="preserve">30 juin </w:t>
            </w:r>
            <w:r w:rsidR="008C1A14" w:rsidRPr="00CA74B8">
              <w:rPr>
                <w:rFonts w:ascii="Times New Roman" w:eastAsia="Calibri" w:hAnsi="Times New Roman" w:cs="Times New Roman"/>
                <w:b/>
                <w:sz w:val="20"/>
                <w:szCs w:val="20"/>
                <w:lang w:val="fr-FR"/>
              </w:rPr>
              <w:t>2023</w:t>
            </w:r>
            <w:r w:rsidR="008C1A14" w:rsidRPr="00CA74B8">
              <w:rPr>
                <w:rFonts w:ascii="Times New Roman" w:eastAsia="Calibri" w:hAnsi="Times New Roman" w:cs="Times New Roman"/>
                <w:b/>
                <w:sz w:val="20"/>
                <w:szCs w:val="20"/>
                <w:lang w:val="fr-FR"/>
              </w:rPr>
              <w:br/>
              <w:t>(</w:t>
            </w:r>
            <w:r w:rsidRPr="00CA74B8">
              <w:rPr>
                <w:rFonts w:ascii="Times New Roman" w:eastAsia="Calibri" w:hAnsi="Times New Roman" w:cs="Times New Roman"/>
                <w:b/>
                <w:bCs/>
                <w:sz w:val="20"/>
                <w:szCs w:val="20"/>
                <w:lang w:val="fr-FR"/>
              </w:rPr>
              <w:t>non</w:t>
            </w:r>
            <w:r w:rsidR="00D12E0A" w:rsidRPr="00CA74B8">
              <w:rPr>
                <w:rFonts w:ascii="Times New Roman" w:eastAsia="Calibri" w:hAnsi="Times New Roman" w:cs="Times New Roman"/>
                <w:b/>
                <w:bCs/>
                <w:sz w:val="20"/>
                <w:szCs w:val="20"/>
                <w:lang w:val="fr-FR"/>
              </w:rPr>
              <w:t>-</w:t>
            </w:r>
            <w:r w:rsidRPr="00CA74B8">
              <w:rPr>
                <w:rFonts w:ascii="Times New Roman" w:eastAsia="Calibri" w:hAnsi="Times New Roman" w:cs="Times New Roman"/>
                <w:b/>
                <w:bCs/>
                <w:sz w:val="20"/>
                <w:szCs w:val="20"/>
                <w:lang w:val="fr-FR"/>
              </w:rPr>
              <w:t>audités</w:t>
            </w:r>
            <w:r w:rsidR="008C1A14" w:rsidRPr="00CA74B8">
              <w:rPr>
                <w:rFonts w:ascii="Times New Roman" w:eastAsia="Calibri" w:hAnsi="Times New Roman" w:cs="Times New Roman"/>
                <w:b/>
                <w:sz w:val="20"/>
                <w:szCs w:val="20"/>
                <w:lang w:val="fr-FR"/>
              </w:rPr>
              <w:t>)</w:t>
            </w:r>
          </w:p>
        </w:tc>
        <w:tc>
          <w:tcPr>
            <w:tcW w:w="1594" w:type="dxa"/>
            <w:shd w:val="clear" w:color="auto" w:fill="D9D9D9"/>
          </w:tcPr>
          <w:p w14:paraId="1C5A7061" w14:textId="2D251ACB" w:rsidR="008C1A14" w:rsidRPr="00CA74B8" w:rsidRDefault="002D5055" w:rsidP="002D5055">
            <w:pPr>
              <w:spacing w:after="180"/>
              <w:jc w:val="right"/>
              <w:rPr>
                <w:rFonts w:ascii="Times New Roman" w:eastAsia="Calibri" w:hAnsi="Times New Roman" w:cs="Times New Roman"/>
                <w:b/>
                <w:sz w:val="20"/>
                <w:szCs w:val="20"/>
                <w:lang w:val="fr-FR"/>
              </w:rPr>
            </w:pPr>
            <w:r w:rsidRPr="00CA74B8">
              <w:rPr>
                <w:rFonts w:ascii="Times New Roman" w:eastAsia="Calibri" w:hAnsi="Times New Roman" w:cs="Times New Roman"/>
                <w:b/>
                <w:sz w:val="20"/>
                <w:szCs w:val="20"/>
                <w:lang w:val="fr-FR"/>
              </w:rPr>
              <w:t>Six mois clôturés</w:t>
            </w:r>
            <w:r w:rsidR="008C1A14" w:rsidRPr="00CA74B8">
              <w:rPr>
                <w:rFonts w:ascii="Times New Roman" w:eastAsia="Calibri" w:hAnsi="Times New Roman" w:cs="Times New Roman"/>
                <w:b/>
                <w:sz w:val="20"/>
                <w:szCs w:val="20"/>
                <w:lang w:val="fr-FR"/>
              </w:rPr>
              <w:t xml:space="preserve"> </w:t>
            </w:r>
            <w:r w:rsidR="008C1A14" w:rsidRPr="00CA74B8">
              <w:rPr>
                <w:rFonts w:ascii="Times New Roman" w:eastAsia="Calibri" w:hAnsi="Times New Roman" w:cs="Times New Roman"/>
                <w:b/>
                <w:sz w:val="20"/>
                <w:szCs w:val="20"/>
                <w:lang w:val="fr-FR"/>
              </w:rPr>
              <w:br/>
            </w:r>
            <w:r w:rsidRPr="00CA74B8">
              <w:rPr>
                <w:rFonts w:ascii="Times New Roman" w:eastAsia="Calibri" w:hAnsi="Times New Roman" w:cs="Times New Roman"/>
                <w:b/>
                <w:sz w:val="20"/>
                <w:szCs w:val="20"/>
                <w:lang w:val="fr-FR"/>
              </w:rPr>
              <w:t xml:space="preserve">30 juin </w:t>
            </w:r>
            <w:r w:rsidR="008C1A14" w:rsidRPr="00CA74B8">
              <w:rPr>
                <w:rFonts w:ascii="Times New Roman" w:eastAsia="Calibri" w:hAnsi="Times New Roman" w:cs="Times New Roman"/>
                <w:b/>
                <w:sz w:val="20"/>
                <w:szCs w:val="20"/>
                <w:lang w:val="fr-FR"/>
              </w:rPr>
              <w:t>2022</w:t>
            </w:r>
            <w:r w:rsidR="008C1A14" w:rsidRPr="00CA74B8">
              <w:rPr>
                <w:rFonts w:ascii="Times New Roman" w:eastAsia="Calibri" w:hAnsi="Times New Roman" w:cs="Times New Roman"/>
                <w:b/>
                <w:sz w:val="20"/>
                <w:szCs w:val="20"/>
                <w:lang w:val="fr-FR"/>
              </w:rPr>
              <w:br/>
              <w:t>(</w:t>
            </w:r>
            <w:r w:rsidRPr="00CA74B8">
              <w:rPr>
                <w:rFonts w:ascii="Times New Roman" w:eastAsia="Calibri" w:hAnsi="Times New Roman" w:cs="Times New Roman"/>
                <w:b/>
                <w:bCs/>
                <w:sz w:val="20"/>
                <w:szCs w:val="20"/>
                <w:lang w:val="fr-FR"/>
              </w:rPr>
              <w:t>non</w:t>
            </w:r>
            <w:r w:rsidR="00D12E0A" w:rsidRPr="00CA74B8">
              <w:rPr>
                <w:rFonts w:ascii="Times New Roman" w:eastAsia="Calibri" w:hAnsi="Times New Roman" w:cs="Times New Roman"/>
                <w:b/>
                <w:bCs/>
                <w:sz w:val="20"/>
                <w:szCs w:val="20"/>
                <w:lang w:val="fr-FR"/>
              </w:rPr>
              <w:t>-</w:t>
            </w:r>
            <w:r w:rsidRPr="00CA74B8">
              <w:rPr>
                <w:rFonts w:ascii="Times New Roman" w:eastAsia="Calibri" w:hAnsi="Times New Roman" w:cs="Times New Roman"/>
                <w:b/>
                <w:bCs/>
                <w:sz w:val="20"/>
                <w:szCs w:val="20"/>
                <w:lang w:val="fr-FR"/>
              </w:rPr>
              <w:t>audités</w:t>
            </w:r>
            <w:r w:rsidR="008C1A14" w:rsidRPr="00CA74B8">
              <w:rPr>
                <w:rFonts w:ascii="Times New Roman" w:eastAsia="Calibri" w:hAnsi="Times New Roman" w:cs="Times New Roman"/>
                <w:b/>
                <w:sz w:val="20"/>
                <w:szCs w:val="20"/>
                <w:lang w:val="fr-FR"/>
              </w:rPr>
              <w:t>)</w:t>
            </w:r>
          </w:p>
        </w:tc>
        <w:tc>
          <w:tcPr>
            <w:tcW w:w="1595" w:type="dxa"/>
            <w:shd w:val="clear" w:color="auto" w:fill="D9D9D9"/>
          </w:tcPr>
          <w:p w14:paraId="5495F88D" w14:textId="4D2D5ADE" w:rsidR="008C1A14" w:rsidRPr="00CA74B8" w:rsidRDefault="008C1A14" w:rsidP="008C1A14">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rPr>
              <w:t>2022</w:t>
            </w:r>
          </w:p>
        </w:tc>
        <w:tc>
          <w:tcPr>
            <w:tcW w:w="1595" w:type="dxa"/>
            <w:shd w:val="clear" w:color="auto" w:fill="D9D9D9"/>
          </w:tcPr>
          <w:p w14:paraId="186D25B9" w14:textId="31F5D5CE" w:rsidR="008C1A14" w:rsidRPr="00CA74B8" w:rsidRDefault="008C1A14" w:rsidP="008C1A14">
            <w:pPr>
              <w:spacing w:after="180"/>
              <w:jc w:val="right"/>
              <w:rPr>
                <w:rFonts w:ascii="Times New Roman" w:eastAsia="Calibri" w:hAnsi="Times New Roman" w:cs="Times New Roman"/>
                <w:b/>
                <w:sz w:val="20"/>
                <w:szCs w:val="20"/>
              </w:rPr>
            </w:pPr>
            <w:r w:rsidRPr="00CA74B8">
              <w:rPr>
                <w:rFonts w:ascii="Times New Roman" w:eastAsia="Calibri" w:hAnsi="Times New Roman" w:cs="Times New Roman"/>
                <w:b/>
                <w:sz w:val="20"/>
                <w:szCs w:val="20"/>
              </w:rPr>
              <w:t>2021</w:t>
            </w:r>
          </w:p>
        </w:tc>
      </w:tr>
      <w:tr w:rsidR="008C1A14" w:rsidRPr="00CA74B8" w14:paraId="1E03DF93" w14:textId="77777777" w:rsidTr="004922E9">
        <w:tc>
          <w:tcPr>
            <w:tcW w:w="2666" w:type="dxa"/>
          </w:tcPr>
          <w:p w14:paraId="55F85336" w14:textId="449AB3E6" w:rsidR="008C1A14" w:rsidRPr="00CA74B8" w:rsidRDefault="002D5055" w:rsidP="002D5055">
            <w:pPr>
              <w:spacing w:after="180"/>
              <w:rPr>
                <w:rFonts w:ascii="Times New Roman" w:eastAsia="Calibri" w:hAnsi="Times New Roman" w:cs="Times New Roman"/>
                <w:sz w:val="20"/>
                <w:szCs w:val="20"/>
                <w:lang w:val="fr-FR"/>
              </w:rPr>
            </w:pPr>
            <w:r w:rsidRPr="00CA74B8">
              <w:rPr>
                <w:rFonts w:ascii="Times New Roman" w:eastAsia="Calibri" w:hAnsi="Times New Roman" w:cs="Times New Roman"/>
                <w:sz w:val="20"/>
                <w:szCs w:val="20"/>
                <w:lang w:val="fr-FR"/>
              </w:rPr>
              <w:t>Flux de trésorerie net des activités opérationnelles</w:t>
            </w:r>
          </w:p>
        </w:tc>
        <w:tc>
          <w:tcPr>
            <w:tcW w:w="1594" w:type="dxa"/>
          </w:tcPr>
          <w:p w14:paraId="329D1D67" w14:textId="3F1804B2"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595,547</w:t>
            </w:r>
          </w:p>
        </w:tc>
        <w:tc>
          <w:tcPr>
            <w:tcW w:w="1594" w:type="dxa"/>
          </w:tcPr>
          <w:p w14:paraId="507DC9A4" w14:textId="1778F7BC"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-1,642,140</w:t>
            </w:r>
          </w:p>
        </w:tc>
        <w:tc>
          <w:tcPr>
            <w:tcW w:w="1595" w:type="dxa"/>
          </w:tcPr>
          <w:p w14:paraId="04AD6E86" w14:textId="16C49D53"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-3,257,493</w:t>
            </w:r>
          </w:p>
        </w:tc>
        <w:tc>
          <w:tcPr>
            <w:tcW w:w="1595" w:type="dxa"/>
          </w:tcPr>
          <w:p w14:paraId="0C75CB45" w14:textId="0FD42B35"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3,490,039</w:t>
            </w:r>
          </w:p>
        </w:tc>
      </w:tr>
      <w:tr w:rsidR="008C1A14" w:rsidRPr="00CA74B8" w14:paraId="5D8B2803" w14:textId="77777777" w:rsidTr="004922E9">
        <w:tc>
          <w:tcPr>
            <w:tcW w:w="2666" w:type="dxa"/>
          </w:tcPr>
          <w:p w14:paraId="15A4C526" w14:textId="2A779843" w:rsidR="008C1A14" w:rsidRPr="00CA74B8" w:rsidRDefault="002D5055" w:rsidP="002D5055">
            <w:pPr>
              <w:spacing w:after="180"/>
              <w:rPr>
                <w:rFonts w:ascii="Times New Roman" w:eastAsia="Calibri" w:hAnsi="Times New Roman" w:cs="Times New Roman"/>
                <w:sz w:val="20"/>
                <w:szCs w:val="20"/>
                <w:lang w:val="fr-FR"/>
              </w:rPr>
            </w:pPr>
            <w:r w:rsidRPr="00CA74B8">
              <w:rPr>
                <w:rFonts w:ascii="Times New Roman" w:eastAsia="Calibri" w:hAnsi="Times New Roman" w:cs="Times New Roman"/>
                <w:sz w:val="20"/>
                <w:szCs w:val="20"/>
                <w:lang w:val="fr-FR"/>
              </w:rPr>
              <w:t>Flux de trésorerie net des activités de financement</w:t>
            </w:r>
          </w:p>
        </w:tc>
        <w:tc>
          <w:tcPr>
            <w:tcW w:w="1594" w:type="dxa"/>
          </w:tcPr>
          <w:p w14:paraId="6D2C05DD" w14:textId="598A509E"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c>
          <w:tcPr>
            <w:tcW w:w="1594" w:type="dxa"/>
          </w:tcPr>
          <w:p w14:paraId="4CE9DEEE" w14:textId="2A43985D"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c>
          <w:tcPr>
            <w:tcW w:w="1595" w:type="dxa"/>
          </w:tcPr>
          <w:p w14:paraId="431A1CD0" w14:textId="7E38EEE3"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c>
          <w:tcPr>
            <w:tcW w:w="1595" w:type="dxa"/>
          </w:tcPr>
          <w:p w14:paraId="5BD034EC" w14:textId="77777777"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r>
      <w:tr w:rsidR="008C1A14" w:rsidRPr="00CA74B8" w14:paraId="78309705" w14:textId="77777777" w:rsidTr="004922E9">
        <w:tc>
          <w:tcPr>
            <w:tcW w:w="2666" w:type="dxa"/>
          </w:tcPr>
          <w:p w14:paraId="3E8AD29B" w14:textId="178D7362" w:rsidR="008C1A14" w:rsidRPr="00CA74B8" w:rsidRDefault="002D5055" w:rsidP="002D5055">
            <w:pPr>
              <w:spacing w:after="180"/>
              <w:rPr>
                <w:rFonts w:ascii="Times New Roman" w:eastAsia="Calibri" w:hAnsi="Times New Roman" w:cs="Times New Roman"/>
                <w:sz w:val="20"/>
                <w:szCs w:val="20"/>
                <w:lang w:val="fr-FR"/>
              </w:rPr>
            </w:pPr>
            <w:r w:rsidRPr="00CA74B8">
              <w:rPr>
                <w:rFonts w:ascii="Times New Roman" w:eastAsia="Calibri" w:hAnsi="Times New Roman" w:cs="Times New Roman"/>
                <w:sz w:val="20"/>
                <w:szCs w:val="20"/>
                <w:lang w:val="fr-FR"/>
              </w:rPr>
              <w:t>Flux de trésorerie net des activités d’investissement</w:t>
            </w:r>
          </w:p>
        </w:tc>
        <w:tc>
          <w:tcPr>
            <w:tcW w:w="1594" w:type="dxa"/>
          </w:tcPr>
          <w:p w14:paraId="6EBE6424" w14:textId="69318920"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c>
          <w:tcPr>
            <w:tcW w:w="1594" w:type="dxa"/>
          </w:tcPr>
          <w:p w14:paraId="19149F22" w14:textId="2C668AD6"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c>
          <w:tcPr>
            <w:tcW w:w="1595" w:type="dxa"/>
          </w:tcPr>
          <w:p w14:paraId="47299E1D" w14:textId="77777777"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c>
          <w:tcPr>
            <w:tcW w:w="1595" w:type="dxa"/>
          </w:tcPr>
          <w:p w14:paraId="22A3924F" w14:textId="77777777" w:rsidR="008C1A14" w:rsidRPr="00CA74B8" w:rsidRDefault="008C1A14" w:rsidP="008C1A14">
            <w:pPr>
              <w:spacing w:after="180"/>
              <w:jc w:val="right"/>
              <w:rPr>
                <w:rFonts w:ascii="Times New Roman" w:eastAsia="Calibri" w:hAnsi="Times New Roman" w:cs="Times New Roman"/>
                <w:sz w:val="20"/>
                <w:szCs w:val="20"/>
              </w:rPr>
            </w:pPr>
            <w:r w:rsidRPr="00CA74B8">
              <w:rPr>
                <w:rFonts w:ascii="Times New Roman" w:eastAsia="Calibri" w:hAnsi="Times New Roman" w:cs="Times New Roman"/>
                <w:sz w:val="20"/>
                <w:szCs w:val="20"/>
              </w:rPr>
              <w:t>0</w:t>
            </w:r>
          </w:p>
        </w:tc>
      </w:tr>
    </w:tbl>
    <w:p w14:paraId="7B1E8F1A" w14:textId="77777777" w:rsidR="008C1A14" w:rsidRPr="00CA74B8" w:rsidRDefault="008C1A14" w:rsidP="008C1A14">
      <w:pPr>
        <w:spacing w:after="0" w:line="240" w:lineRule="auto"/>
        <w:ind w:left="720"/>
        <w:jc w:val="both"/>
        <w:rPr>
          <w:rFonts w:ascii="Times New Roman" w:eastAsia="MS Mincho" w:hAnsi="Times New Roman" w:cs="Times New Roman"/>
          <w:kern w:val="0"/>
          <w:sz w:val="20"/>
          <w:szCs w:val="20"/>
          <w:lang w:val="en-US" w:bidi="ar-SA"/>
          <w14:ligatures w14:val="none"/>
        </w:rPr>
      </w:pPr>
    </w:p>
    <w:p w14:paraId="5E64D50D" w14:textId="12C6B07B" w:rsidR="008C1A14" w:rsidRPr="00CA74B8" w:rsidRDefault="00A44975" w:rsidP="008C1A1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Quels sont les principaux risques propres à l’Émetteur ?</w:t>
      </w:r>
    </w:p>
    <w:p w14:paraId="5D4E3042" w14:textId="07C15D0B" w:rsidR="008C1A14" w:rsidRPr="00CA74B8" w:rsidRDefault="00A44975" w:rsidP="00A44975">
      <w:pPr>
        <w:spacing w:after="60" w:line="240" w:lineRule="auto"/>
        <w:rPr>
          <w:rFonts w:ascii="Times New Roman" w:eastAsia="MS Mincho" w:hAnsi="Times New Roman" w:cs="Times New Roman"/>
          <w:i/>
          <w:kern w:val="0"/>
          <w:sz w:val="20"/>
          <w:szCs w:val="20"/>
          <w:lang w:val="fr-FR" w:bidi="ar-SA"/>
          <w14:ligatures w14:val="none"/>
        </w:rPr>
      </w:pPr>
      <w:r w:rsidRPr="00CA74B8">
        <w:rPr>
          <w:rFonts w:ascii="Times New Roman" w:eastAsia="MS Mincho" w:hAnsi="Times New Roman" w:cs="Times New Roman"/>
          <w:i/>
          <w:kern w:val="0"/>
          <w:sz w:val="20"/>
          <w:szCs w:val="20"/>
          <w:lang w:val="fr-FR" w:bidi="ar-SA"/>
          <w14:ligatures w14:val="none"/>
        </w:rPr>
        <w:t>Les facteurs de risque suivants sont significatifs en ce qui concerne la capacité de l’Émetteur à remplir ses obligations dans le cadre des obligations émises.</w:t>
      </w:r>
    </w:p>
    <w:p w14:paraId="4C5C89C0" w14:textId="367B008A" w:rsidR="00A44975" w:rsidRPr="00CA74B8" w:rsidRDefault="00A44975" w:rsidP="008C1A14">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Risques liés à l’activité commerciale concentrée de l’Émetteur</w:t>
      </w:r>
      <w:r w:rsidRPr="00CA74B8">
        <w:rPr>
          <w:rFonts w:ascii="Times New Roman" w:eastAsia="MS Mincho" w:hAnsi="Times New Roman" w:cs="Times New Roman"/>
          <w:i/>
          <w:iCs/>
          <w:kern w:val="0"/>
          <w:sz w:val="20"/>
          <w:szCs w:val="20"/>
          <w:lang w:val="fr-FR" w:bidi="ar-SA"/>
          <w14:ligatures w14:val="none"/>
        </w:rPr>
        <w:t xml:space="preserve"> : </w:t>
      </w:r>
      <w:r w:rsidRPr="00CA74B8">
        <w:rPr>
          <w:rFonts w:ascii="Times New Roman" w:eastAsia="MS Mincho" w:hAnsi="Times New Roman" w:cs="Times New Roman"/>
          <w:kern w:val="0"/>
          <w:sz w:val="20"/>
          <w:szCs w:val="20"/>
          <w:lang w:val="fr-FR" w:bidi="ar-SA"/>
          <w14:ligatures w14:val="none"/>
        </w:rPr>
        <w:t xml:space="preserve">L’activité commerciale de l’Émetteur se concentre sur l’émission d’obligations liées à une Crypto-monnaie ainsi qu'à la performance de contribution de la Crypto-monnaie au réseau sous-jacent pertinent dans le but de faciliter, valider et approuver les transactions sur un tel réseau concernant la Crypto-monnaie (« </w:t>
      </w:r>
      <w:proofErr w:type="spellStart"/>
      <w:r w:rsidRPr="00CA74B8">
        <w:rPr>
          <w:rFonts w:ascii="Times New Roman" w:eastAsia="MS Mincho" w:hAnsi="Times New Roman" w:cs="Times New Roman"/>
          <w:b/>
          <w:bCs/>
          <w:kern w:val="0"/>
          <w:sz w:val="20"/>
          <w:szCs w:val="20"/>
          <w:lang w:val="fr-FR" w:bidi="ar-SA"/>
          <w14:ligatures w14:val="none"/>
        </w:rPr>
        <w:t>Staking</w:t>
      </w:r>
      <w:proofErr w:type="spellEnd"/>
      <w:r w:rsidRPr="00CA74B8">
        <w:rPr>
          <w:rFonts w:ascii="Times New Roman" w:eastAsia="MS Mincho" w:hAnsi="Times New Roman" w:cs="Times New Roman"/>
          <w:kern w:val="0"/>
          <w:sz w:val="20"/>
          <w:szCs w:val="20"/>
          <w:lang w:val="fr-FR" w:bidi="ar-SA"/>
          <w14:ligatures w14:val="none"/>
        </w:rPr>
        <w:t xml:space="preserve"> »). L’Émetteur n’a aucune autre activité que celle décrite ci-dessus (voir la section « </w:t>
      </w:r>
      <w:r w:rsidRPr="00CA74B8">
        <w:rPr>
          <w:rFonts w:ascii="Times New Roman" w:eastAsia="MS Mincho" w:hAnsi="Times New Roman" w:cs="Times New Roman"/>
          <w:i/>
          <w:iCs/>
          <w:kern w:val="0"/>
          <w:sz w:val="20"/>
          <w:szCs w:val="20"/>
          <w:lang w:val="fr-FR" w:bidi="ar-SA"/>
          <w14:ligatures w14:val="none"/>
        </w:rPr>
        <w:t>1.2.1.1. Principales activités de l’Émetteur</w:t>
      </w:r>
      <w:r w:rsidRPr="00CA74B8">
        <w:rPr>
          <w:rFonts w:ascii="Times New Roman" w:eastAsia="MS Mincho" w:hAnsi="Times New Roman" w:cs="Times New Roman"/>
          <w:kern w:val="0"/>
          <w:sz w:val="20"/>
          <w:szCs w:val="20"/>
          <w:lang w:val="fr-FR" w:bidi="ar-SA"/>
          <w14:ligatures w14:val="none"/>
        </w:rPr>
        <w:t xml:space="preserve"> »). En raison de cette activité concentrée, l’Émetteur est exposé au risque que la Crypto-monnaie sous-jacente ne devienne pas fructueuse ou le soit moins. L’Émetteur pourrait alors ne pas réussir à mener à bien ses activités, ce qui pourrait avoir un impact négatif sur sa situation financière et commerciale.</w:t>
      </w:r>
    </w:p>
    <w:p w14:paraId="223E386F" w14:textId="77777777" w:rsidR="00A44975" w:rsidRPr="00CA74B8" w:rsidRDefault="00A44975" w:rsidP="00657A2B">
      <w:pPr>
        <w:spacing w:after="12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 xml:space="preserve">Risques résultant du fait que l’Émetteur ne dispose pas d’un bilan de son activité commerciale complet et sur plusieurs années : </w:t>
      </w:r>
      <w:r w:rsidRPr="00CA74B8">
        <w:rPr>
          <w:rFonts w:ascii="Times New Roman" w:eastAsia="MS Mincho" w:hAnsi="Times New Roman" w:cs="Times New Roman"/>
          <w:kern w:val="0"/>
          <w:sz w:val="20"/>
          <w:szCs w:val="20"/>
          <w:lang w:val="fr-FR" w:bidi="ar-SA"/>
          <w14:ligatures w14:val="none"/>
        </w:rPr>
        <w:t>L’Émetteur a été enregistré au registre du commerce du tribunal (</w:t>
      </w:r>
      <w:proofErr w:type="spellStart"/>
      <w:r w:rsidRPr="00CA74B8">
        <w:rPr>
          <w:rFonts w:ascii="Times New Roman" w:eastAsia="MS Mincho" w:hAnsi="Times New Roman" w:cs="Times New Roman"/>
          <w:i/>
          <w:iCs/>
          <w:kern w:val="0"/>
          <w:sz w:val="20"/>
          <w:szCs w:val="20"/>
          <w:lang w:val="fr-FR" w:bidi="ar-SA"/>
          <w14:ligatures w14:val="none"/>
        </w:rPr>
        <w:t>Amtsgericht</w:t>
      </w:r>
      <w:proofErr w:type="spellEnd"/>
      <w:r w:rsidRPr="00CA74B8">
        <w:rPr>
          <w:rFonts w:ascii="Times New Roman" w:eastAsia="MS Mincho" w:hAnsi="Times New Roman" w:cs="Times New Roman"/>
          <w:kern w:val="0"/>
          <w:sz w:val="20"/>
          <w:szCs w:val="20"/>
          <w:lang w:val="fr-FR" w:bidi="ar-SA"/>
          <w14:ligatures w14:val="none"/>
        </w:rPr>
        <w:t>) de Francfort-sur-le-Main, Allemagne, le 27 août 2019. En raison de cette si courte période d’existence, l’Émetteur ne peut attester de la réussite de son activité commerciale qui est décrite dans le présent document et ne peut produire de bilan complet et sur plusieurs années, ce qui s’ajoute aux risques commerciaux et ceci pourrait avoir un impact négatif sur la situation commerciale et financière de l’Émetteur.</w:t>
      </w:r>
    </w:p>
    <w:p w14:paraId="6BC86A71" w14:textId="0381AD19" w:rsidR="00A44975" w:rsidRPr="00CA74B8" w:rsidRDefault="00A44975" w:rsidP="00657A2B">
      <w:pPr>
        <w:spacing w:after="12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lastRenderedPageBreak/>
        <w:t>Actionnaires majoritaires :</w:t>
      </w:r>
      <w:r w:rsidRPr="00CA74B8">
        <w:rPr>
          <w:rFonts w:ascii="Times New Roman" w:eastAsia="MS Mincho" w:hAnsi="Times New Roman" w:cs="Times New Roman"/>
          <w:kern w:val="0"/>
          <w:sz w:val="20"/>
          <w:szCs w:val="20"/>
          <w:lang w:val="fr-FR" w:bidi="ar-SA"/>
          <w14:ligatures w14:val="none"/>
        </w:rPr>
        <w:t xml:space="preserve"> Les actions de l’Émetteur sont concentrées entre les mains d’un nombre limité de personnes ; (i) XTX et (ii) MLM qui, ensemble, détiennent plus de 50,00 pour cent des droits de vote. </w:t>
      </w:r>
      <w:r w:rsidR="00AD52B9" w:rsidRPr="00CA74B8">
        <w:rPr>
          <w:rFonts w:ascii="Times New Roman" w:eastAsia="MS Mincho" w:hAnsi="Times New Roman" w:cs="Times New Roman"/>
          <w:kern w:val="0"/>
          <w:sz w:val="20"/>
          <w:szCs w:val="20"/>
          <w:lang w:val="fr-FR" w:bidi="ar-SA"/>
          <w14:ligatures w14:val="none"/>
        </w:rPr>
        <w:t>Les actionnaires mentionnés ci-dessus ou leurs représentants ont</w:t>
      </w:r>
      <w:r w:rsidR="00AD52B9" w:rsidRPr="00CA74B8" w:rsidDel="00AD52B9">
        <w:rPr>
          <w:rFonts w:ascii="Times New Roman" w:eastAsia="MS Mincho" w:hAnsi="Times New Roman" w:cs="Times New Roman"/>
          <w:kern w:val="0"/>
          <w:sz w:val="20"/>
          <w:szCs w:val="20"/>
          <w:lang w:val="fr-FR" w:bidi="ar-SA"/>
          <w14:ligatures w14:val="none"/>
        </w:rPr>
        <w:t xml:space="preserve"> </w:t>
      </w:r>
      <w:r w:rsidRPr="00CA74B8">
        <w:rPr>
          <w:rFonts w:ascii="Times New Roman" w:eastAsia="MS Mincho" w:hAnsi="Times New Roman" w:cs="Times New Roman"/>
          <w:kern w:val="0"/>
          <w:sz w:val="20"/>
          <w:szCs w:val="20"/>
          <w:lang w:val="fr-FR" w:bidi="ar-SA"/>
          <w14:ligatures w14:val="none"/>
        </w:rPr>
        <w:t xml:space="preserve">la faculté de révoquer la majorité des membres du Conseil d’administration de l’Émetteur par leur vote. Ainsi, ces actionnaires </w:t>
      </w:r>
      <w:proofErr w:type="gramStart"/>
      <w:r w:rsidRPr="00CA74B8">
        <w:rPr>
          <w:rFonts w:ascii="Times New Roman" w:eastAsia="MS Mincho" w:hAnsi="Times New Roman" w:cs="Times New Roman"/>
          <w:kern w:val="0"/>
          <w:sz w:val="20"/>
          <w:szCs w:val="20"/>
          <w:lang w:val="fr-FR" w:bidi="ar-SA"/>
          <w14:ligatures w14:val="none"/>
        </w:rPr>
        <w:t>ont</w:t>
      </w:r>
      <w:proofErr w:type="gramEnd"/>
      <w:r w:rsidRPr="00CA74B8">
        <w:rPr>
          <w:rFonts w:ascii="Times New Roman" w:eastAsia="MS Mincho" w:hAnsi="Times New Roman" w:cs="Times New Roman"/>
          <w:kern w:val="0"/>
          <w:sz w:val="20"/>
          <w:szCs w:val="20"/>
          <w:lang w:val="fr-FR" w:bidi="ar-SA"/>
          <w14:ligatures w14:val="none"/>
        </w:rPr>
        <w:t xml:space="preserve"> une influence significative sur la gestion de l’Émetteur. Rien ne garantit que ces actionnaires ou leurs représentants exerceront leur droit de vote d’une manière bénéfique à l’Émetteur ou aux investisseurs.</w:t>
      </w:r>
    </w:p>
    <w:p w14:paraId="10029F56" w14:textId="77777777" w:rsidR="00A44975" w:rsidRPr="00CA74B8" w:rsidRDefault="00A44975" w:rsidP="00657A2B">
      <w:pPr>
        <w:spacing w:after="12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Dépendance à l’égard des autorisations d’ordre réglementaire :</w:t>
      </w:r>
      <w:r w:rsidRPr="00CA74B8">
        <w:rPr>
          <w:rFonts w:ascii="Times New Roman" w:eastAsia="MS Mincho" w:hAnsi="Times New Roman" w:cs="Times New Roman"/>
          <w:kern w:val="0"/>
          <w:sz w:val="20"/>
          <w:szCs w:val="20"/>
          <w:lang w:val="fr-FR" w:bidi="ar-SA"/>
          <w14:ligatures w14:val="none"/>
        </w:rPr>
        <w:t xml:space="preserve"> L’Émetteur dépend de l’autorisation de la Bourse de Francfort et de la possibilité de continuer à émettre les Obligations, conformément à la réglementation allemande. Tout changement dans les règles de cotation, la réglementation applicable aux Obligations ou à l’utilisation de crypto-monnaies comme actifs sous-jacents pourrait avoir un impact négatif sur l’Émetteur et les investisseurs dans les Obligations.</w:t>
      </w:r>
    </w:p>
    <w:p w14:paraId="01E3FC56" w14:textId="62BC69EC" w:rsidR="00A44975" w:rsidRPr="00CA74B8" w:rsidRDefault="00A44975" w:rsidP="00657A2B">
      <w:pPr>
        <w:spacing w:after="12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Attaques par des « hackers » et sabotage par des personnes tierces :</w:t>
      </w:r>
      <w:r w:rsidRPr="00CA74B8">
        <w:rPr>
          <w:rFonts w:ascii="Times New Roman" w:eastAsia="MS Mincho" w:hAnsi="Times New Roman" w:cs="Times New Roman"/>
          <w:kern w:val="0"/>
          <w:sz w:val="20"/>
          <w:szCs w:val="20"/>
          <w:lang w:val="fr-FR" w:bidi="ar-SA"/>
          <w14:ligatures w14:val="none"/>
        </w:rPr>
        <w:t xml:space="preserve"> Toute l’activité de l’Émetteur dépend d’infrastructures informatiques. En outre, les prestataires de services (comme l’Administrateur, l’Agent Payeur ou le Système de Compensation) s’appuient également sur des systèmes informatiques pour fournir leurs services à l’Émetteur. Tant les systèmes informatiques de l’Émetteur que ceux de ces prestataires de services peuvent faire l’objet d’un piratage. L’Émetteur est ainsi exposé au risque d’être partiellement, temporairement ou même définitivement empêché de mener à bien ses activités commerciales et même de devenir insolvable, de ce fait, les Obligataires (les « </w:t>
      </w:r>
      <w:r w:rsidRPr="00CA74B8">
        <w:rPr>
          <w:rFonts w:ascii="Times New Roman" w:eastAsia="MS Mincho" w:hAnsi="Times New Roman" w:cs="Times New Roman"/>
          <w:b/>
          <w:bCs/>
          <w:kern w:val="0"/>
          <w:sz w:val="20"/>
          <w:szCs w:val="20"/>
          <w:lang w:val="fr-FR" w:bidi="ar-SA"/>
          <w14:ligatures w14:val="none"/>
        </w:rPr>
        <w:t>Obligataires</w:t>
      </w:r>
      <w:r w:rsidRPr="00CA74B8">
        <w:rPr>
          <w:rFonts w:ascii="Times New Roman" w:eastAsia="MS Mincho" w:hAnsi="Times New Roman" w:cs="Times New Roman"/>
          <w:kern w:val="0"/>
          <w:sz w:val="20"/>
          <w:szCs w:val="20"/>
          <w:lang w:val="fr-FR" w:bidi="ar-SA"/>
          <w14:ligatures w14:val="none"/>
        </w:rPr>
        <w:t xml:space="preserve"> ») peuvent perdre une partie ou la totalité de leur investissement en raison d’une telle faille de sécurité.</w:t>
      </w:r>
    </w:p>
    <w:p w14:paraId="08358C60" w14:textId="261BC929" w:rsidR="008C1A14" w:rsidRPr="00CA74B8" w:rsidRDefault="00657A2B" w:rsidP="008C1A14">
      <w:pPr>
        <w:keepNext/>
        <w:keepLines/>
        <w:numPr>
          <w:ilvl w:val="1"/>
          <w:numId w:val="1"/>
        </w:numPr>
        <w:tabs>
          <w:tab w:val="num" w:pos="720"/>
        </w:tabs>
        <w:spacing w:after="60" w:line="240" w:lineRule="auto"/>
        <w:ind w:left="720"/>
        <w:jc w:val="both"/>
        <w:outlineLvl w:val="1"/>
        <w:rPr>
          <w:rFonts w:ascii="Times New Roman" w:eastAsia="Times New Roman" w:hAnsi="Times New Roman" w:cs="Times New Roman"/>
          <w:b/>
          <w:bCs/>
          <w:caps/>
          <w:color w:val="000000"/>
          <w:kern w:val="0"/>
          <w:sz w:val="20"/>
          <w:szCs w:val="20"/>
          <w:lang w:val="fr-FR" w:bidi="ar-SA"/>
          <w14:ligatures w14:val="none"/>
        </w:rPr>
      </w:pPr>
      <w:r w:rsidRPr="00CA74B8">
        <w:rPr>
          <w:rFonts w:ascii="Times New Roman" w:eastAsia="Times New Roman" w:hAnsi="Times New Roman" w:cs="Times New Roman"/>
          <w:b/>
          <w:bCs/>
          <w:caps/>
          <w:color w:val="000000"/>
          <w:kern w:val="0"/>
          <w:sz w:val="20"/>
          <w:szCs w:val="20"/>
          <w:lang w:val="fr-FR" w:bidi="ar-SA"/>
          <w14:ligatures w14:val="none"/>
        </w:rPr>
        <w:t>INFORMATIONS CLÉS SUR LES OBLIGATIONS</w:t>
      </w:r>
    </w:p>
    <w:p w14:paraId="0956E7A4" w14:textId="6EC71613" w:rsidR="008C1A14" w:rsidRPr="00CA74B8" w:rsidRDefault="00657A2B" w:rsidP="008C1A1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Quelles sont les principales caractéristiques des Obligations ?</w:t>
      </w:r>
    </w:p>
    <w:p w14:paraId="288304F9" w14:textId="587BB344" w:rsidR="00657A2B" w:rsidRPr="00CA74B8" w:rsidRDefault="00657A2B" w:rsidP="008C1A14">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Les Obligations sont des obligations bénéficiant d’un nantissement sur des actifs. Les Obligations n’ont pas de date d’échéance fixe. Les Obligations ne portent pas d’intérêt. Chaque Obligation comporte le droit pour son titulaire d’exiger de l’Émetteur (a) la livraison de </w:t>
      </w:r>
      <w:r w:rsidR="00AD52B9" w:rsidRPr="00CA74B8">
        <w:rPr>
          <w:rFonts w:ascii="Times New Roman" w:eastAsia="MS Mincho" w:hAnsi="Times New Roman" w:cs="Times New Roman"/>
          <w:kern w:val="0"/>
          <w:sz w:val="20"/>
          <w:szCs w:val="20"/>
          <w:lang w:val="fr-FR" w:bidi="ar-SA"/>
          <w14:ligatures w14:val="none"/>
        </w:rPr>
        <w:t>l’</w:t>
      </w:r>
      <w:proofErr w:type="spellStart"/>
      <w:r w:rsidRPr="00CA74B8">
        <w:rPr>
          <w:rFonts w:ascii="Times New Roman" w:eastAsia="MS Mincho" w:hAnsi="Times New Roman" w:cs="Times New Roman"/>
          <w:kern w:val="0"/>
          <w:sz w:val="20"/>
          <w:szCs w:val="20"/>
          <w:lang w:val="fr-FR" w:bidi="ar-SA"/>
          <w14:ligatures w14:val="none"/>
        </w:rPr>
        <w:t>Ethereum</w:t>
      </w:r>
      <w:proofErr w:type="spellEnd"/>
      <w:r w:rsidRPr="00CA74B8">
        <w:rPr>
          <w:rFonts w:ascii="Times New Roman" w:eastAsia="MS Mincho" w:hAnsi="Times New Roman" w:cs="Times New Roman"/>
          <w:kern w:val="0"/>
          <w:sz w:val="20"/>
          <w:szCs w:val="20"/>
          <w:lang w:val="fr-FR" w:bidi="ar-SA"/>
          <w14:ligatures w14:val="none"/>
        </w:rPr>
        <w:t xml:space="preserve"> (« </w:t>
      </w:r>
      <w:r w:rsidRPr="00CA74B8">
        <w:rPr>
          <w:rFonts w:ascii="Times New Roman" w:eastAsia="MS Mincho" w:hAnsi="Times New Roman" w:cs="Times New Roman"/>
          <w:b/>
          <w:bCs/>
          <w:kern w:val="0"/>
          <w:sz w:val="20"/>
          <w:szCs w:val="20"/>
          <w:lang w:val="fr-FR" w:bidi="ar-SA"/>
          <w14:ligatures w14:val="none"/>
        </w:rPr>
        <w:t>ETH</w:t>
      </w:r>
      <w:r w:rsidRPr="00CA74B8">
        <w:rPr>
          <w:rFonts w:ascii="Times New Roman" w:eastAsia="MS Mincho" w:hAnsi="Times New Roman" w:cs="Times New Roman"/>
          <w:kern w:val="0"/>
          <w:sz w:val="20"/>
          <w:szCs w:val="20"/>
          <w:lang w:val="fr-FR" w:bidi="ar-SA"/>
          <w14:ligatures w14:val="none"/>
        </w:rPr>
        <w:t xml:space="preserve"> » ou « </w:t>
      </w:r>
      <w:r w:rsidRPr="00CA74B8">
        <w:rPr>
          <w:rFonts w:ascii="Times New Roman" w:eastAsia="MS Mincho" w:hAnsi="Times New Roman" w:cs="Times New Roman"/>
          <w:b/>
          <w:bCs/>
          <w:kern w:val="0"/>
          <w:sz w:val="20"/>
          <w:szCs w:val="20"/>
          <w:lang w:val="fr-FR" w:bidi="ar-SA"/>
          <w14:ligatures w14:val="none"/>
        </w:rPr>
        <w:t>Crypto-monnaie</w:t>
      </w:r>
      <w:r w:rsidRPr="00CA74B8">
        <w:rPr>
          <w:rFonts w:ascii="Times New Roman" w:eastAsia="MS Mincho" w:hAnsi="Times New Roman" w:cs="Times New Roman"/>
          <w:kern w:val="0"/>
          <w:sz w:val="20"/>
          <w:szCs w:val="20"/>
          <w:lang w:val="fr-FR" w:bidi="ar-SA"/>
          <w14:ligatures w14:val="none"/>
        </w:rPr>
        <w:t xml:space="preserve"> »), une crypto-monnaie basée sur une plateforme logicielle décentralisée, open-source et basée sur la blockchain (également appelée </w:t>
      </w:r>
      <w:proofErr w:type="spellStart"/>
      <w:r w:rsidRPr="00CA74B8">
        <w:rPr>
          <w:rFonts w:ascii="Times New Roman" w:eastAsia="MS Mincho" w:hAnsi="Times New Roman" w:cs="Times New Roman"/>
          <w:kern w:val="0"/>
          <w:sz w:val="20"/>
          <w:szCs w:val="20"/>
          <w:lang w:val="fr-FR" w:bidi="ar-SA"/>
          <w14:ligatures w14:val="none"/>
        </w:rPr>
        <w:t>Ethereum</w:t>
      </w:r>
      <w:proofErr w:type="spellEnd"/>
      <w:r w:rsidRPr="00CA74B8">
        <w:rPr>
          <w:rFonts w:ascii="Times New Roman" w:eastAsia="MS Mincho" w:hAnsi="Times New Roman" w:cs="Times New Roman"/>
          <w:kern w:val="0"/>
          <w:sz w:val="20"/>
          <w:szCs w:val="20"/>
          <w:lang w:val="fr-FR" w:bidi="ar-SA"/>
          <w14:ligatures w14:val="none"/>
        </w:rPr>
        <w:t>) et affichée sur https://ethereum.org/en/eth, pour un montant égal à la créance de l’Obligataire, pendant tout Jour Ouvrable, exprimé en montant de la Crypto-monnaie par Obligation, et calculé par l’Émetteur à sa seule discrétion conformément à la formule ci-dessous en référence à l'Index Compass</w:t>
      </w:r>
      <w:r w:rsidR="00FD0E3E" w:rsidRPr="00B876EB">
        <w:rPr>
          <w:rFonts w:ascii="Times New Roman" w:eastAsia="MS Mincho" w:hAnsi="Times New Roman" w:cs="Times New Roman"/>
          <w:kern w:val="0"/>
          <w:sz w:val="20"/>
          <w:szCs w:val="20"/>
          <w:lang w:val="fr-FR" w:bidi="ar-SA"/>
          <w14:ligatures w14:val="none"/>
        </w:rPr>
        <w:t xml:space="preserve"> Crypto Refer</w:t>
      </w:r>
      <w:r w:rsidR="00FD0E3E" w:rsidRPr="00CA74B8">
        <w:rPr>
          <w:rFonts w:ascii="Times New Roman" w:eastAsia="MS Mincho" w:hAnsi="Times New Roman" w:cs="Times New Roman"/>
          <w:kern w:val="0"/>
          <w:sz w:val="20"/>
          <w:szCs w:val="20"/>
          <w:lang w:val="fr-FR" w:bidi="ar-SA"/>
          <w14:ligatures w14:val="none"/>
        </w:rPr>
        <w:t>ence Index</w:t>
      </w:r>
      <w:r w:rsidRPr="00CA74B8">
        <w:rPr>
          <w:rFonts w:ascii="Times New Roman" w:eastAsia="MS Mincho" w:hAnsi="Times New Roman" w:cs="Times New Roman"/>
          <w:kern w:val="0"/>
          <w:sz w:val="20"/>
          <w:szCs w:val="20"/>
          <w:lang w:val="fr-FR" w:bidi="ar-SA"/>
          <w14:ligatures w14:val="none"/>
        </w:rPr>
        <w:t xml:space="preserve"> </w:t>
      </w:r>
      <w:proofErr w:type="spellStart"/>
      <w:r w:rsidRPr="00CA74B8">
        <w:rPr>
          <w:rFonts w:ascii="Times New Roman" w:eastAsia="MS Mincho" w:hAnsi="Times New Roman" w:cs="Times New Roman"/>
          <w:kern w:val="0"/>
          <w:sz w:val="20"/>
          <w:szCs w:val="20"/>
          <w:lang w:val="fr-FR" w:bidi="ar-SA"/>
          <w14:ligatures w14:val="none"/>
        </w:rPr>
        <w:t>Ethereum</w:t>
      </w:r>
      <w:proofErr w:type="spellEnd"/>
      <w:r w:rsidRPr="00CA74B8">
        <w:rPr>
          <w:rFonts w:ascii="Times New Roman" w:eastAsia="MS Mincho" w:hAnsi="Times New Roman" w:cs="Times New Roman"/>
          <w:kern w:val="0"/>
          <w:sz w:val="20"/>
          <w:szCs w:val="20"/>
          <w:lang w:val="fr-FR" w:bidi="ar-SA"/>
          <w14:ligatures w14:val="none"/>
        </w:rPr>
        <w:t xml:space="preserve"> (l'« </w:t>
      </w:r>
      <w:r w:rsidRPr="00CA74B8">
        <w:rPr>
          <w:rFonts w:ascii="Times New Roman" w:eastAsia="MS Mincho" w:hAnsi="Times New Roman" w:cs="Times New Roman"/>
          <w:b/>
          <w:bCs/>
          <w:kern w:val="0"/>
          <w:sz w:val="20"/>
          <w:szCs w:val="20"/>
          <w:lang w:val="fr-FR" w:bidi="ar-SA"/>
          <w14:ligatures w14:val="none"/>
        </w:rPr>
        <w:t>Index</w:t>
      </w:r>
      <w:r w:rsidRPr="00CA74B8">
        <w:rPr>
          <w:rFonts w:ascii="Times New Roman" w:eastAsia="MS Mincho" w:hAnsi="Times New Roman" w:cs="Times New Roman"/>
          <w:kern w:val="0"/>
          <w:sz w:val="20"/>
          <w:szCs w:val="20"/>
          <w:lang w:val="fr-FR" w:bidi="ar-SA"/>
          <w14:ligatures w14:val="none"/>
        </w:rPr>
        <w:t xml:space="preserve"> ») (« </w:t>
      </w:r>
      <w:r w:rsidRPr="00CA74B8">
        <w:rPr>
          <w:rFonts w:ascii="Times New Roman" w:eastAsia="MS Mincho" w:hAnsi="Times New Roman" w:cs="Times New Roman"/>
          <w:i/>
          <w:iCs/>
          <w:kern w:val="0"/>
          <w:sz w:val="20"/>
          <w:szCs w:val="20"/>
          <w:lang w:val="fr-FR" w:bidi="ar-SA"/>
          <w14:ligatures w14:val="none"/>
        </w:rPr>
        <w:t>1.4.1. Méthode de détermination du Prix d’Émission</w:t>
      </w:r>
      <w:r w:rsidRPr="00CA74B8">
        <w:rPr>
          <w:rFonts w:ascii="Times New Roman" w:eastAsia="MS Mincho" w:hAnsi="Times New Roman" w:cs="Times New Roman"/>
          <w:kern w:val="0"/>
          <w:sz w:val="20"/>
          <w:szCs w:val="20"/>
          <w:lang w:val="fr-FR" w:bidi="ar-SA"/>
          <w14:ligatures w14:val="none"/>
        </w:rPr>
        <w:t xml:space="preserve"> ») (le « </w:t>
      </w:r>
      <w:r w:rsidRPr="00CA74B8">
        <w:rPr>
          <w:rFonts w:ascii="Times New Roman" w:eastAsia="MS Mincho" w:hAnsi="Times New Roman" w:cs="Times New Roman"/>
          <w:b/>
          <w:bCs/>
          <w:kern w:val="0"/>
          <w:sz w:val="20"/>
          <w:szCs w:val="20"/>
          <w:lang w:val="fr-FR" w:bidi="ar-SA"/>
          <w14:ligatures w14:val="none"/>
        </w:rPr>
        <w:t>Droit d’Attribution de Crypto-monnaie</w:t>
      </w:r>
      <w:r w:rsidRPr="00CA74B8">
        <w:rPr>
          <w:rFonts w:ascii="Times New Roman" w:eastAsia="MS Mincho" w:hAnsi="Times New Roman" w:cs="Times New Roman"/>
          <w:kern w:val="0"/>
          <w:sz w:val="20"/>
          <w:szCs w:val="20"/>
          <w:lang w:val="fr-FR" w:bidi="ar-SA"/>
          <w14:ligatures w14:val="none"/>
        </w:rPr>
        <w:t xml:space="preserve"> ») ou (b) le paiement </w:t>
      </w:r>
      <w:r w:rsidR="00BF24A3" w:rsidRPr="00CA74B8">
        <w:rPr>
          <w:rFonts w:ascii="Times New Roman" w:eastAsia="MS Mincho" w:hAnsi="Times New Roman" w:cs="Times New Roman"/>
          <w:kern w:val="0"/>
          <w:sz w:val="20"/>
          <w:szCs w:val="20"/>
          <w:lang w:val="fr-FR" w:bidi="ar-SA"/>
          <w14:ligatures w14:val="none"/>
        </w:rPr>
        <w:t xml:space="preserve">d’un montant </w:t>
      </w:r>
      <w:r w:rsidRPr="00CA74B8">
        <w:rPr>
          <w:rFonts w:ascii="Times New Roman" w:eastAsia="MS Mincho" w:hAnsi="Times New Roman" w:cs="Times New Roman"/>
          <w:kern w:val="0"/>
          <w:sz w:val="20"/>
          <w:szCs w:val="20"/>
          <w:lang w:val="fr-FR" w:bidi="ar-SA"/>
          <w14:ligatures w14:val="none"/>
        </w:rPr>
        <w:t xml:space="preserve">en dollars américains (« </w:t>
      </w:r>
      <w:r w:rsidRPr="00CA74B8">
        <w:rPr>
          <w:rFonts w:ascii="Times New Roman" w:eastAsia="MS Mincho" w:hAnsi="Times New Roman" w:cs="Times New Roman"/>
          <w:b/>
          <w:bCs/>
          <w:kern w:val="0"/>
          <w:sz w:val="20"/>
          <w:szCs w:val="20"/>
          <w:lang w:val="fr-FR" w:bidi="ar-SA"/>
          <w14:ligatures w14:val="none"/>
        </w:rPr>
        <w:t>USD</w:t>
      </w:r>
      <w:r w:rsidRPr="00CA74B8">
        <w:rPr>
          <w:rFonts w:ascii="Times New Roman" w:eastAsia="MS Mincho" w:hAnsi="Times New Roman" w:cs="Times New Roman"/>
          <w:kern w:val="0"/>
          <w:sz w:val="20"/>
          <w:szCs w:val="20"/>
          <w:lang w:val="fr-FR" w:bidi="ar-SA"/>
          <w14:ligatures w14:val="none"/>
        </w:rPr>
        <w:t xml:space="preserve"> ») déterminé conformément aux stipulations des modalités (les « </w:t>
      </w:r>
      <w:r w:rsidRPr="00CA74B8">
        <w:rPr>
          <w:rFonts w:ascii="Times New Roman" w:eastAsia="MS Mincho" w:hAnsi="Times New Roman" w:cs="Times New Roman"/>
          <w:b/>
          <w:bCs/>
          <w:kern w:val="0"/>
          <w:sz w:val="20"/>
          <w:szCs w:val="20"/>
          <w:lang w:val="fr-FR" w:bidi="ar-SA"/>
          <w14:ligatures w14:val="none"/>
        </w:rPr>
        <w:t>Modalités</w:t>
      </w:r>
      <w:r w:rsidRPr="00CA74B8">
        <w:rPr>
          <w:rFonts w:ascii="Times New Roman" w:eastAsia="MS Mincho" w:hAnsi="Times New Roman" w:cs="Times New Roman"/>
          <w:kern w:val="0"/>
          <w:sz w:val="20"/>
          <w:szCs w:val="20"/>
          <w:lang w:val="fr-FR" w:bidi="ar-SA"/>
          <w14:ligatures w14:val="none"/>
        </w:rPr>
        <w:t xml:space="preserve"> »). Les obligations de l’Émetteur au titre des Obligations constituent des engagements directs, non subordonnés et assortis de sûreté de l’Émetteur qui sont de rang égal entre (i) eux, (ii) les Obligations Relatives aux Options de Remboursement Garanties et les Obligations de Règlement Garanties (telles que définies ci-dessous) (« </w:t>
      </w:r>
      <w:r w:rsidRPr="00CA74B8">
        <w:rPr>
          <w:rFonts w:ascii="Times New Roman" w:eastAsia="MS Mincho" w:hAnsi="Times New Roman" w:cs="Times New Roman"/>
          <w:i/>
          <w:iCs/>
          <w:kern w:val="0"/>
          <w:sz w:val="20"/>
          <w:szCs w:val="20"/>
          <w:lang w:val="fr-FR" w:bidi="ar-SA"/>
          <w14:ligatures w14:val="none"/>
        </w:rPr>
        <w:t>1.3.3. Risques liés aux Remboursements Volontaires</w:t>
      </w:r>
      <w:r w:rsidRPr="00CA74B8">
        <w:rPr>
          <w:rFonts w:ascii="Times New Roman" w:eastAsia="MS Mincho" w:hAnsi="Times New Roman" w:cs="Times New Roman"/>
          <w:kern w:val="0"/>
          <w:sz w:val="20"/>
          <w:szCs w:val="20"/>
          <w:lang w:val="fr-FR" w:bidi="ar-SA"/>
          <w14:ligatures w14:val="none"/>
        </w:rPr>
        <w:t xml:space="preserve"> ») et (iii) toute obligation de l’Émetteur de transférer des Obligations à toute entité désignée par l’Émetteur comme participant autorisé (le « </w:t>
      </w:r>
      <w:r w:rsidRPr="00CA74B8">
        <w:rPr>
          <w:rFonts w:ascii="Times New Roman" w:eastAsia="MS Mincho" w:hAnsi="Times New Roman" w:cs="Times New Roman"/>
          <w:b/>
          <w:bCs/>
          <w:kern w:val="0"/>
          <w:sz w:val="20"/>
          <w:szCs w:val="20"/>
          <w:lang w:val="fr-FR" w:bidi="ar-SA"/>
          <w14:ligatures w14:val="none"/>
        </w:rPr>
        <w:t>Participant Autorisé</w:t>
      </w:r>
      <w:r w:rsidRPr="00CA74B8">
        <w:rPr>
          <w:rFonts w:ascii="Times New Roman" w:eastAsia="MS Mincho" w:hAnsi="Times New Roman" w:cs="Times New Roman"/>
          <w:kern w:val="0"/>
          <w:sz w:val="20"/>
          <w:szCs w:val="20"/>
          <w:lang w:val="fr-FR" w:bidi="ar-SA"/>
          <w14:ligatures w14:val="none"/>
        </w:rPr>
        <w:t xml:space="preserve"> ») si ce Participant Autorisé a transféré au moins le Droit d’Attribution de Crypto-monnaie par Obligation souscrite ou achetée à un portefeuille de dépositaire exploité par Zodia Custody (Ireland) Limited (le « </w:t>
      </w:r>
      <w:r w:rsidRPr="00CA74B8">
        <w:rPr>
          <w:rFonts w:ascii="Times New Roman" w:eastAsia="MS Mincho" w:hAnsi="Times New Roman" w:cs="Times New Roman"/>
          <w:b/>
          <w:bCs/>
          <w:kern w:val="0"/>
          <w:sz w:val="20"/>
          <w:szCs w:val="20"/>
          <w:lang w:val="fr-FR" w:bidi="ar-SA"/>
          <w14:ligatures w14:val="none"/>
        </w:rPr>
        <w:t>Portefeuille de Dépôt</w:t>
      </w:r>
      <w:r w:rsidRPr="00CA74B8">
        <w:rPr>
          <w:rFonts w:ascii="Times New Roman" w:eastAsia="MS Mincho" w:hAnsi="Times New Roman" w:cs="Times New Roman"/>
          <w:kern w:val="0"/>
          <w:sz w:val="20"/>
          <w:szCs w:val="20"/>
          <w:lang w:val="fr-FR" w:bidi="ar-SA"/>
          <w14:ligatures w14:val="none"/>
        </w:rPr>
        <w:t xml:space="preserve"> » et, de telles obligations les « </w:t>
      </w:r>
      <w:r w:rsidRPr="00CA74B8">
        <w:rPr>
          <w:rFonts w:ascii="Times New Roman" w:eastAsia="MS Mincho" w:hAnsi="Times New Roman" w:cs="Times New Roman"/>
          <w:b/>
          <w:bCs/>
          <w:kern w:val="0"/>
          <w:sz w:val="20"/>
          <w:szCs w:val="20"/>
          <w:lang w:val="fr-FR" w:bidi="ar-SA"/>
          <w14:ligatures w14:val="none"/>
        </w:rPr>
        <w:t>Obligations de Règlement Garanties</w:t>
      </w:r>
      <w:r w:rsidRPr="00CA74B8">
        <w:rPr>
          <w:rFonts w:ascii="Times New Roman" w:eastAsia="MS Mincho" w:hAnsi="Times New Roman" w:cs="Times New Roman"/>
          <w:kern w:val="0"/>
          <w:sz w:val="20"/>
          <w:szCs w:val="20"/>
          <w:lang w:val="fr-FR" w:bidi="ar-SA"/>
          <w14:ligatures w14:val="none"/>
        </w:rPr>
        <w:t xml:space="preserve"> »). Les Obligations sont librement transférables.</w:t>
      </w:r>
    </w:p>
    <w:p w14:paraId="4C124AAB" w14:textId="77777777" w:rsidR="00657A2B" w:rsidRPr="00CA74B8" w:rsidRDefault="00657A2B" w:rsidP="008C1A14">
      <w:pPr>
        <w:keepNext/>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Les droits suivants sont attachés aux obligations : </w:t>
      </w:r>
    </w:p>
    <w:p w14:paraId="12C37A5E" w14:textId="1500B1C7" w:rsidR="008C1A14" w:rsidRPr="00CA74B8" w:rsidRDefault="008C1A14" w:rsidP="008C1A14">
      <w:pPr>
        <w:keepNext/>
        <w:spacing w:after="60" w:line="240" w:lineRule="auto"/>
        <w:jc w:val="both"/>
        <w:rPr>
          <w:rFonts w:ascii="Times New Roman" w:eastAsia="MS Mincho" w:hAnsi="Times New Roman" w:cs="Times New Roman"/>
          <w:kern w:val="0"/>
          <w:sz w:val="20"/>
          <w:szCs w:val="20"/>
          <w:lang w:val="en-US" w:bidi="ar-SA"/>
          <w14:ligatures w14:val="none"/>
        </w:rPr>
      </w:pPr>
      <w:r w:rsidRPr="00CA74B8">
        <w:rPr>
          <w:rFonts w:ascii="Times New Roman" w:eastAsia="MS Mincho" w:hAnsi="Times New Roman" w:cs="Times New Roman"/>
          <w:b/>
          <w:i/>
          <w:kern w:val="0"/>
          <w:sz w:val="20"/>
          <w:szCs w:val="20"/>
          <w:lang w:val="en-US" w:bidi="ar-SA"/>
          <w14:ligatures w14:val="none"/>
        </w:rPr>
        <w:t>Security</w:t>
      </w:r>
      <w:r w:rsidRPr="00CA74B8">
        <w:rPr>
          <w:rFonts w:ascii="Times New Roman" w:eastAsia="MS Mincho" w:hAnsi="Times New Roman" w:cs="Times New Roman"/>
          <w:kern w:val="0"/>
          <w:sz w:val="20"/>
          <w:szCs w:val="20"/>
          <w:lang w:val="en-US" w:bidi="ar-SA"/>
          <w14:ligatures w14:val="none"/>
        </w:rPr>
        <w:t xml:space="preserve">: </w:t>
      </w:r>
      <w:r w:rsidR="00B5596E">
        <w:rPr>
          <w:rFonts w:ascii="Times New Roman" w:eastAsia="MS Mincho" w:hAnsi="Times New Roman" w:cs="Times New Roman"/>
          <w:kern w:val="0"/>
          <w:sz w:val="20"/>
          <w:szCs w:val="20"/>
          <w:lang w:val="en-US" w:bidi="ar-SA"/>
          <w14:ligatures w14:val="none"/>
        </w:rPr>
        <w:t>Gage par l</w:t>
      </w:r>
      <w:r w:rsidR="00A0198D" w:rsidRPr="00A0198D">
        <w:rPr>
          <w:rFonts w:ascii="Times New Roman" w:eastAsia="MS Mincho" w:hAnsi="Times New Roman" w:cs="Times New Roman"/>
          <w:kern w:val="0"/>
          <w:sz w:val="20"/>
          <w:szCs w:val="20"/>
          <w:lang w:val="fr-FR" w:bidi="ar-SA"/>
          <w14:ligatures w14:val="none"/>
        </w:rPr>
        <w:t xml:space="preserve"> </w:t>
      </w:r>
      <w:r w:rsidR="00A0198D" w:rsidRPr="00CA74B8">
        <w:rPr>
          <w:rFonts w:ascii="Times New Roman" w:eastAsia="MS Mincho" w:hAnsi="Times New Roman" w:cs="Times New Roman"/>
          <w:kern w:val="0"/>
          <w:sz w:val="20"/>
          <w:szCs w:val="20"/>
          <w:lang w:val="fr-FR" w:bidi="ar-SA"/>
          <w14:ligatures w14:val="none"/>
        </w:rPr>
        <w:t xml:space="preserve">l'Émetteur </w:t>
      </w:r>
      <w:proofErr w:type="spellStart"/>
      <w:r w:rsidR="00B5596E">
        <w:rPr>
          <w:rFonts w:ascii="Times New Roman" w:eastAsia="MS Mincho" w:hAnsi="Times New Roman" w:cs="Times New Roman"/>
          <w:kern w:val="0"/>
          <w:sz w:val="20"/>
          <w:szCs w:val="20"/>
          <w:lang w:val="en-US" w:bidi="ar-SA"/>
          <w14:ligatures w14:val="none"/>
        </w:rPr>
        <w:t>en</w:t>
      </w:r>
      <w:proofErr w:type="spellEnd"/>
      <w:r w:rsidR="00B5596E">
        <w:rPr>
          <w:rFonts w:ascii="Times New Roman" w:eastAsia="MS Mincho" w:hAnsi="Times New Roman" w:cs="Times New Roman"/>
          <w:kern w:val="0"/>
          <w:sz w:val="20"/>
          <w:szCs w:val="20"/>
          <w:lang w:val="en-US" w:bidi="ar-SA"/>
          <w14:ligatures w14:val="none"/>
        </w:rPr>
        <w:t xml:space="preserve"> </w:t>
      </w:r>
      <w:proofErr w:type="spellStart"/>
      <w:r w:rsidR="00B5596E">
        <w:rPr>
          <w:rFonts w:ascii="Times New Roman" w:eastAsia="MS Mincho" w:hAnsi="Times New Roman" w:cs="Times New Roman"/>
          <w:kern w:val="0"/>
          <w:sz w:val="20"/>
          <w:szCs w:val="20"/>
          <w:lang w:val="en-US" w:bidi="ar-SA"/>
          <w14:ligatures w14:val="none"/>
        </w:rPr>
        <w:t>faveur</w:t>
      </w:r>
      <w:proofErr w:type="spellEnd"/>
      <w:r w:rsidR="00B5596E">
        <w:rPr>
          <w:rFonts w:ascii="Times New Roman" w:eastAsia="MS Mincho" w:hAnsi="Times New Roman" w:cs="Times New Roman"/>
          <w:kern w:val="0"/>
          <w:sz w:val="20"/>
          <w:szCs w:val="20"/>
          <w:lang w:val="en-US" w:bidi="ar-SA"/>
          <w14:ligatures w14:val="none"/>
        </w:rPr>
        <w:t xml:space="preserve"> des </w:t>
      </w:r>
      <w:proofErr w:type="spellStart"/>
      <w:r w:rsidR="00B5596E">
        <w:rPr>
          <w:rFonts w:ascii="Times New Roman" w:eastAsia="MS Mincho" w:hAnsi="Times New Roman" w:cs="Times New Roman"/>
          <w:kern w:val="0"/>
          <w:sz w:val="20"/>
          <w:szCs w:val="20"/>
          <w:lang w:val="en-US" w:bidi="ar-SA"/>
          <w14:ligatures w14:val="none"/>
        </w:rPr>
        <w:t>Obligatories</w:t>
      </w:r>
      <w:proofErr w:type="spellEnd"/>
      <w:r w:rsidR="00B5596E">
        <w:rPr>
          <w:rFonts w:ascii="Times New Roman" w:eastAsia="MS Mincho" w:hAnsi="Times New Roman" w:cs="Times New Roman"/>
          <w:kern w:val="0"/>
          <w:sz w:val="20"/>
          <w:szCs w:val="20"/>
          <w:lang w:val="en-US" w:bidi="ar-SA"/>
          <w14:ligatures w14:val="none"/>
        </w:rPr>
        <w:t xml:space="preserve"> de </w:t>
      </w:r>
      <w:proofErr w:type="spellStart"/>
      <w:r w:rsidR="00B5596E">
        <w:rPr>
          <w:rFonts w:ascii="Times New Roman" w:eastAsia="MS Mincho" w:hAnsi="Times New Roman" w:cs="Times New Roman"/>
          <w:kern w:val="0"/>
          <w:sz w:val="20"/>
          <w:szCs w:val="20"/>
          <w:lang w:val="en-US" w:bidi="ar-SA"/>
          <w14:ligatures w14:val="none"/>
        </w:rPr>
        <w:t>ses</w:t>
      </w:r>
      <w:proofErr w:type="spellEnd"/>
      <w:r w:rsidR="00B5596E">
        <w:rPr>
          <w:rFonts w:ascii="Times New Roman" w:eastAsia="MS Mincho" w:hAnsi="Times New Roman" w:cs="Times New Roman"/>
          <w:kern w:val="0"/>
          <w:sz w:val="20"/>
          <w:szCs w:val="20"/>
          <w:lang w:val="en-US" w:bidi="ar-SA"/>
          <w14:ligatures w14:val="none"/>
        </w:rPr>
        <w:t xml:space="preserve"> droits, </w:t>
      </w:r>
      <w:proofErr w:type="spellStart"/>
      <w:r w:rsidR="00B5596E">
        <w:rPr>
          <w:rFonts w:ascii="Times New Roman" w:eastAsia="MS Mincho" w:hAnsi="Times New Roman" w:cs="Times New Roman"/>
          <w:kern w:val="0"/>
          <w:sz w:val="20"/>
          <w:szCs w:val="20"/>
          <w:lang w:val="en-US" w:bidi="ar-SA"/>
          <w14:ligatures w14:val="none"/>
        </w:rPr>
        <w:t>titres</w:t>
      </w:r>
      <w:proofErr w:type="spellEnd"/>
      <w:r w:rsidR="00B5596E">
        <w:rPr>
          <w:rFonts w:ascii="Times New Roman" w:eastAsia="MS Mincho" w:hAnsi="Times New Roman" w:cs="Times New Roman"/>
          <w:kern w:val="0"/>
          <w:sz w:val="20"/>
          <w:szCs w:val="20"/>
          <w:lang w:val="en-US" w:bidi="ar-SA"/>
          <w14:ligatures w14:val="none"/>
        </w:rPr>
        <w:t>, int</w:t>
      </w:r>
      <w:r w:rsidR="00A0198D" w:rsidRPr="00CA74B8">
        <w:rPr>
          <w:rFonts w:ascii="Times New Roman" w:eastAsia="MS Mincho" w:hAnsi="Times New Roman" w:cs="Times New Roman"/>
          <w:kern w:val="0"/>
          <w:sz w:val="20"/>
          <w:szCs w:val="20"/>
          <w:lang w:val="fr-FR" w:bidi="ar-SA"/>
          <w14:ligatures w14:val="none"/>
        </w:rPr>
        <w:t>é</w:t>
      </w:r>
      <w:r w:rsidR="00B5596E">
        <w:rPr>
          <w:rFonts w:ascii="Times New Roman" w:eastAsia="MS Mincho" w:hAnsi="Times New Roman" w:cs="Times New Roman"/>
          <w:kern w:val="0"/>
          <w:sz w:val="20"/>
          <w:szCs w:val="20"/>
          <w:lang w:val="en-US" w:bidi="ar-SA"/>
          <w14:ligatures w14:val="none"/>
        </w:rPr>
        <w:t xml:space="preserve">rest et advantages, </w:t>
      </w:r>
      <w:proofErr w:type="spellStart"/>
      <w:r w:rsidR="00B5596E">
        <w:rPr>
          <w:rFonts w:ascii="Times New Roman" w:eastAsia="MS Mincho" w:hAnsi="Times New Roman" w:cs="Times New Roman"/>
          <w:kern w:val="0"/>
          <w:sz w:val="20"/>
          <w:szCs w:val="20"/>
          <w:lang w:val="en-US" w:bidi="ar-SA"/>
          <w14:ligatures w14:val="none"/>
        </w:rPr>
        <w:t>pres</w:t>
      </w:r>
      <w:proofErr w:type="spellEnd"/>
      <w:r w:rsidR="00A0198D" w:rsidRPr="00CA74B8">
        <w:rPr>
          <w:rFonts w:ascii="Times New Roman" w:eastAsia="MS Mincho" w:hAnsi="Times New Roman" w:cs="Times New Roman"/>
          <w:kern w:val="0"/>
          <w:sz w:val="20"/>
          <w:szCs w:val="20"/>
          <w:lang w:val="fr-FR" w:bidi="ar-SA"/>
          <w14:ligatures w14:val="none"/>
        </w:rPr>
        <w:t>é</w:t>
      </w:r>
      <w:proofErr w:type="spellStart"/>
      <w:r w:rsidR="00B5596E">
        <w:rPr>
          <w:rFonts w:ascii="Times New Roman" w:eastAsia="MS Mincho" w:hAnsi="Times New Roman" w:cs="Times New Roman"/>
          <w:kern w:val="0"/>
          <w:sz w:val="20"/>
          <w:szCs w:val="20"/>
          <w:lang w:val="en-US" w:bidi="ar-SA"/>
          <w14:ligatures w14:val="none"/>
        </w:rPr>
        <w:t>nts</w:t>
      </w:r>
      <w:proofErr w:type="spellEnd"/>
      <w:r w:rsidR="00B5596E">
        <w:rPr>
          <w:rFonts w:ascii="Times New Roman" w:eastAsia="MS Mincho" w:hAnsi="Times New Roman" w:cs="Times New Roman"/>
          <w:kern w:val="0"/>
          <w:sz w:val="20"/>
          <w:szCs w:val="20"/>
          <w:lang w:val="en-US" w:bidi="ar-SA"/>
          <w14:ligatures w14:val="none"/>
        </w:rPr>
        <w:t xml:space="preserve"> et </w:t>
      </w:r>
      <w:proofErr w:type="spellStart"/>
      <w:r w:rsidR="00B5596E">
        <w:rPr>
          <w:rFonts w:ascii="Times New Roman" w:eastAsia="MS Mincho" w:hAnsi="Times New Roman" w:cs="Times New Roman"/>
          <w:kern w:val="0"/>
          <w:sz w:val="20"/>
          <w:szCs w:val="20"/>
          <w:lang w:val="en-US" w:bidi="ar-SA"/>
          <w14:ligatures w14:val="none"/>
        </w:rPr>
        <w:t>futurs</w:t>
      </w:r>
      <w:proofErr w:type="spellEnd"/>
      <w:r w:rsidR="00B5596E">
        <w:rPr>
          <w:rFonts w:ascii="Times New Roman" w:eastAsia="MS Mincho" w:hAnsi="Times New Roman" w:cs="Times New Roman"/>
          <w:kern w:val="0"/>
          <w:sz w:val="20"/>
          <w:szCs w:val="20"/>
          <w:lang w:val="en-US" w:bidi="ar-SA"/>
          <w14:ligatures w14:val="none"/>
        </w:rPr>
        <w:t xml:space="preserve">, dans et au </w:t>
      </w:r>
      <w:proofErr w:type="spellStart"/>
      <w:r w:rsidR="00B5596E">
        <w:rPr>
          <w:rFonts w:ascii="Times New Roman" w:eastAsia="MS Mincho" w:hAnsi="Times New Roman" w:cs="Times New Roman"/>
          <w:kern w:val="0"/>
          <w:sz w:val="20"/>
          <w:szCs w:val="20"/>
          <w:lang w:val="en-US" w:bidi="ar-SA"/>
          <w14:ligatures w14:val="none"/>
        </w:rPr>
        <w:t>titre</w:t>
      </w:r>
      <w:proofErr w:type="spellEnd"/>
      <w:r w:rsidR="00B5596E">
        <w:rPr>
          <w:rFonts w:ascii="Times New Roman" w:eastAsia="MS Mincho" w:hAnsi="Times New Roman" w:cs="Times New Roman"/>
          <w:kern w:val="0"/>
          <w:sz w:val="20"/>
          <w:szCs w:val="20"/>
          <w:lang w:val="en-US" w:bidi="ar-SA"/>
          <w14:ligatures w14:val="none"/>
        </w:rPr>
        <w:t xml:space="preserve"> du </w:t>
      </w:r>
      <w:proofErr w:type="spellStart"/>
      <w:r w:rsidR="00B5596E">
        <w:rPr>
          <w:rFonts w:ascii="Times New Roman" w:eastAsia="MS Mincho" w:hAnsi="Times New Roman" w:cs="Times New Roman"/>
          <w:kern w:val="0"/>
          <w:sz w:val="20"/>
          <w:szCs w:val="20"/>
          <w:lang w:val="en-US" w:bidi="ar-SA"/>
          <w14:ligatures w14:val="none"/>
        </w:rPr>
        <w:t>Portefeuille</w:t>
      </w:r>
      <w:proofErr w:type="spellEnd"/>
      <w:r w:rsidR="00B5596E">
        <w:rPr>
          <w:rFonts w:ascii="Times New Roman" w:eastAsia="MS Mincho" w:hAnsi="Times New Roman" w:cs="Times New Roman"/>
          <w:kern w:val="0"/>
          <w:sz w:val="20"/>
          <w:szCs w:val="20"/>
          <w:lang w:val="en-US" w:bidi="ar-SA"/>
          <w14:ligatures w14:val="none"/>
        </w:rPr>
        <w:t xml:space="preserve"> </w:t>
      </w:r>
      <w:proofErr w:type="spellStart"/>
      <w:r w:rsidR="00B5596E">
        <w:rPr>
          <w:rFonts w:ascii="Times New Roman" w:eastAsia="MS Mincho" w:hAnsi="Times New Roman" w:cs="Times New Roman"/>
          <w:kern w:val="0"/>
          <w:sz w:val="20"/>
          <w:szCs w:val="20"/>
          <w:lang w:val="en-US" w:bidi="ar-SA"/>
          <w14:ligatures w14:val="none"/>
        </w:rPr>
        <w:t>Depositaire</w:t>
      </w:r>
      <w:proofErr w:type="spellEnd"/>
      <w:r w:rsidR="00B5596E">
        <w:rPr>
          <w:rFonts w:ascii="Times New Roman" w:eastAsia="MS Mincho" w:hAnsi="Times New Roman" w:cs="Times New Roman"/>
          <w:kern w:val="0"/>
          <w:sz w:val="20"/>
          <w:szCs w:val="20"/>
          <w:lang w:val="en-US" w:bidi="ar-SA"/>
          <w14:ligatures w14:val="none"/>
        </w:rPr>
        <w:t xml:space="preserve"> et de la Crypto-</w:t>
      </w:r>
      <w:proofErr w:type="spellStart"/>
      <w:r w:rsidR="00B5596E">
        <w:rPr>
          <w:rFonts w:ascii="Times New Roman" w:eastAsia="MS Mincho" w:hAnsi="Times New Roman" w:cs="Times New Roman"/>
          <w:kern w:val="0"/>
          <w:sz w:val="20"/>
          <w:szCs w:val="20"/>
          <w:lang w:val="en-US" w:bidi="ar-SA"/>
          <w14:ligatures w14:val="none"/>
        </w:rPr>
        <w:t>monnaie</w:t>
      </w:r>
      <w:proofErr w:type="spellEnd"/>
      <w:r w:rsidR="00B5596E">
        <w:rPr>
          <w:rFonts w:ascii="Times New Roman" w:eastAsia="MS Mincho" w:hAnsi="Times New Roman" w:cs="Times New Roman"/>
          <w:kern w:val="0"/>
          <w:sz w:val="20"/>
          <w:szCs w:val="20"/>
          <w:lang w:val="en-US" w:bidi="ar-SA"/>
          <w14:ligatures w14:val="none"/>
        </w:rPr>
        <w:t xml:space="preserve"> D</w:t>
      </w:r>
      <w:r w:rsidR="00A0198D" w:rsidRPr="00CA74B8">
        <w:rPr>
          <w:rFonts w:ascii="Times New Roman" w:eastAsia="MS Mincho" w:hAnsi="Times New Roman" w:cs="Times New Roman"/>
          <w:kern w:val="0"/>
          <w:sz w:val="20"/>
          <w:szCs w:val="20"/>
          <w:lang w:val="fr-FR" w:bidi="ar-SA"/>
          <w14:ligatures w14:val="none"/>
        </w:rPr>
        <w:t>é</w:t>
      </w:r>
      <w:r w:rsidR="00B5596E">
        <w:rPr>
          <w:rFonts w:ascii="Times New Roman" w:eastAsia="MS Mincho" w:hAnsi="Times New Roman" w:cs="Times New Roman"/>
          <w:kern w:val="0"/>
          <w:sz w:val="20"/>
          <w:szCs w:val="20"/>
          <w:lang w:val="en-US" w:bidi="ar-SA"/>
          <w14:ligatures w14:val="none"/>
        </w:rPr>
        <w:t>pos</w:t>
      </w:r>
      <w:r w:rsidR="00A0198D" w:rsidRPr="00CA74B8">
        <w:rPr>
          <w:rFonts w:ascii="Times New Roman" w:eastAsia="MS Mincho" w:hAnsi="Times New Roman" w:cs="Times New Roman"/>
          <w:kern w:val="0"/>
          <w:sz w:val="20"/>
          <w:szCs w:val="20"/>
          <w:lang w:val="fr-FR" w:bidi="ar-SA"/>
          <w14:ligatures w14:val="none"/>
        </w:rPr>
        <w:t>é</w:t>
      </w:r>
      <w:r w:rsidR="00B5596E">
        <w:rPr>
          <w:rFonts w:ascii="Times New Roman" w:eastAsia="MS Mincho" w:hAnsi="Times New Roman" w:cs="Times New Roman"/>
          <w:kern w:val="0"/>
          <w:sz w:val="20"/>
          <w:szCs w:val="20"/>
          <w:lang w:val="en-US" w:bidi="ar-SA"/>
          <w14:ligatures w14:val="none"/>
        </w:rPr>
        <w:t xml:space="preserve">e et </w:t>
      </w:r>
      <w:proofErr w:type="spellStart"/>
      <w:r w:rsidR="00B5596E">
        <w:rPr>
          <w:rFonts w:ascii="Times New Roman" w:eastAsia="MS Mincho" w:hAnsi="Times New Roman" w:cs="Times New Roman"/>
          <w:kern w:val="0"/>
          <w:sz w:val="20"/>
          <w:szCs w:val="20"/>
          <w:lang w:val="en-US" w:bidi="ar-SA"/>
          <w14:ligatures w14:val="none"/>
        </w:rPr>
        <w:t>nantissement</w:t>
      </w:r>
      <w:proofErr w:type="spellEnd"/>
      <w:r w:rsidR="00B5596E">
        <w:rPr>
          <w:rFonts w:ascii="Times New Roman" w:eastAsia="MS Mincho" w:hAnsi="Times New Roman" w:cs="Times New Roman"/>
          <w:kern w:val="0"/>
          <w:sz w:val="20"/>
          <w:szCs w:val="20"/>
          <w:lang w:val="en-US" w:bidi="ar-SA"/>
          <w14:ligatures w14:val="none"/>
        </w:rPr>
        <w:t xml:space="preserve"> par </w:t>
      </w:r>
      <w:r w:rsidR="00A0198D" w:rsidRPr="00CA74B8">
        <w:rPr>
          <w:rFonts w:ascii="Times New Roman" w:eastAsia="MS Mincho" w:hAnsi="Times New Roman" w:cs="Times New Roman"/>
          <w:kern w:val="0"/>
          <w:sz w:val="20"/>
          <w:szCs w:val="20"/>
          <w:lang w:val="fr-FR" w:bidi="ar-SA"/>
          <w14:ligatures w14:val="none"/>
        </w:rPr>
        <w:t xml:space="preserve">l'Émetteur </w:t>
      </w:r>
      <w:r w:rsidR="00B5596E">
        <w:rPr>
          <w:rFonts w:ascii="Times New Roman" w:eastAsia="MS Mincho" w:hAnsi="Times New Roman" w:cs="Times New Roman"/>
          <w:kern w:val="0"/>
          <w:sz w:val="20"/>
          <w:szCs w:val="20"/>
          <w:lang w:val="en-US" w:bidi="ar-SA"/>
          <w14:ligatures w14:val="none"/>
        </w:rPr>
        <w:t xml:space="preserve">sur le </w:t>
      </w:r>
      <w:proofErr w:type="spellStart"/>
      <w:r w:rsidR="00B5596E">
        <w:rPr>
          <w:rFonts w:ascii="Times New Roman" w:eastAsia="MS Mincho" w:hAnsi="Times New Roman" w:cs="Times New Roman"/>
          <w:kern w:val="0"/>
          <w:sz w:val="20"/>
          <w:szCs w:val="20"/>
          <w:lang w:val="en-US" w:bidi="ar-SA"/>
          <w14:ligatures w14:val="none"/>
        </w:rPr>
        <w:t>Compte</w:t>
      </w:r>
      <w:proofErr w:type="spellEnd"/>
      <w:r w:rsidR="00B5596E">
        <w:rPr>
          <w:rFonts w:ascii="Times New Roman" w:eastAsia="MS Mincho" w:hAnsi="Times New Roman" w:cs="Times New Roman"/>
          <w:kern w:val="0"/>
          <w:sz w:val="20"/>
          <w:szCs w:val="20"/>
          <w:lang w:val="en-US" w:bidi="ar-SA"/>
          <w14:ligatures w14:val="none"/>
        </w:rPr>
        <w:t xml:space="preserve"> </w:t>
      </w:r>
      <w:proofErr w:type="spellStart"/>
      <w:r w:rsidR="00B5596E">
        <w:rPr>
          <w:rFonts w:ascii="Times New Roman" w:eastAsia="MS Mincho" w:hAnsi="Times New Roman" w:cs="Times New Roman"/>
          <w:kern w:val="0"/>
          <w:sz w:val="20"/>
          <w:szCs w:val="20"/>
          <w:lang w:val="en-US" w:bidi="ar-SA"/>
          <w14:ligatures w14:val="none"/>
        </w:rPr>
        <w:t>d’Emission</w:t>
      </w:r>
      <w:proofErr w:type="spellEnd"/>
      <w:r w:rsidR="00B5596E">
        <w:rPr>
          <w:rFonts w:ascii="Times New Roman" w:eastAsia="MS Mincho" w:hAnsi="Times New Roman" w:cs="Times New Roman"/>
          <w:kern w:val="0"/>
          <w:sz w:val="20"/>
          <w:szCs w:val="20"/>
          <w:lang w:val="en-US" w:bidi="ar-SA"/>
          <w14:ligatures w14:val="none"/>
        </w:rPr>
        <w:t xml:space="preserve"> et les Ob</w:t>
      </w:r>
      <w:r w:rsidR="00A0198D">
        <w:rPr>
          <w:rFonts w:ascii="Times New Roman" w:eastAsia="MS Mincho" w:hAnsi="Times New Roman" w:cs="Times New Roman"/>
          <w:kern w:val="0"/>
          <w:sz w:val="20"/>
          <w:szCs w:val="20"/>
          <w:lang w:val="en-US" w:bidi="ar-SA"/>
          <w14:ligatures w14:val="none"/>
        </w:rPr>
        <w:t xml:space="preserve">ligations </w:t>
      </w:r>
      <w:proofErr w:type="spellStart"/>
      <w:r w:rsidR="00A0198D">
        <w:rPr>
          <w:rFonts w:ascii="Times New Roman" w:eastAsia="MS Mincho" w:hAnsi="Times New Roman" w:cs="Times New Roman"/>
          <w:kern w:val="0"/>
          <w:sz w:val="20"/>
          <w:szCs w:val="20"/>
          <w:lang w:val="en-US" w:bidi="ar-SA"/>
          <w14:ligatures w14:val="none"/>
        </w:rPr>
        <w:t>Propriete</w:t>
      </w:r>
      <w:proofErr w:type="spellEnd"/>
      <w:r w:rsidR="00A0198D">
        <w:rPr>
          <w:rFonts w:ascii="Times New Roman" w:eastAsia="MS Mincho" w:hAnsi="Times New Roman" w:cs="Times New Roman"/>
          <w:kern w:val="0"/>
          <w:sz w:val="20"/>
          <w:szCs w:val="20"/>
          <w:lang w:val="en-US" w:bidi="ar-SA"/>
          <w14:ligatures w14:val="none"/>
        </w:rPr>
        <w:t xml:space="preserve"> de </w:t>
      </w:r>
      <w:proofErr w:type="spellStart"/>
      <w:r w:rsidR="00A0198D">
        <w:rPr>
          <w:rFonts w:ascii="Times New Roman" w:eastAsia="MS Mincho" w:hAnsi="Times New Roman" w:cs="Times New Roman"/>
          <w:kern w:val="0"/>
          <w:sz w:val="20"/>
          <w:szCs w:val="20"/>
          <w:lang w:val="en-US" w:bidi="ar-SA"/>
          <w14:ligatures w14:val="none"/>
        </w:rPr>
        <w:t>l’Emetteur</w:t>
      </w:r>
      <w:proofErr w:type="spellEnd"/>
      <w:r w:rsidR="00A0198D">
        <w:rPr>
          <w:rFonts w:ascii="Times New Roman" w:eastAsia="MS Mincho" w:hAnsi="Times New Roman" w:cs="Times New Roman"/>
          <w:kern w:val="0"/>
          <w:sz w:val="20"/>
          <w:szCs w:val="20"/>
          <w:lang w:val="en-US" w:bidi="ar-SA"/>
          <w14:ligatures w14:val="none"/>
        </w:rPr>
        <w:t xml:space="preserve"> </w:t>
      </w:r>
      <w:proofErr w:type="spellStart"/>
      <w:r w:rsidR="00A0198D">
        <w:rPr>
          <w:rFonts w:ascii="Times New Roman" w:eastAsia="MS Mincho" w:hAnsi="Times New Roman" w:cs="Times New Roman"/>
          <w:kern w:val="0"/>
          <w:sz w:val="20"/>
          <w:szCs w:val="20"/>
          <w:lang w:val="en-US" w:bidi="ar-SA"/>
          <w14:ligatures w14:val="none"/>
        </w:rPr>
        <w:t>en</w:t>
      </w:r>
      <w:proofErr w:type="spellEnd"/>
      <w:r w:rsidR="00A0198D">
        <w:rPr>
          <w:rFonts w:ascii="Times New Roman" w:eastAsia="MS Mincho" w:hAnsi="Times New Roman" w:cs="Times New Roman"/>
          <w:kern w:val="0"/>
          <w:sz w:val="20"/>
          <w:szCs w:val="20"/>
          <w:lang w:val="en-US" w:bidi="ar-SA"/>
          <w14:ligatures w14:val="none"/>
        </w:rPr>
        <w:t xml:space="preserve"> </w:t>
      </w:r>
      <w:proofErr w:type="spellStart"/>
      <w:r w:rsidR="00A0198D">
        <w:rPr>
          <w:rFonts w:ascii="Times New Roman" w:eastAsia="MS Mincho" w:hAnsi="Times New Roman" w:cs="Times New Roman"/>
          <w:kern w:val="0"/>
          <w:sz w:val="20"/>
          <w:szCs w:val="20"/>
          <w:lang w:val="en-US" w:bidi="ar-SA"/>
          <w14:ligatures w14:val="none"/>
        </w:rPr>
        <w:t>faveur</w:t>
      </w:r>
      <w:proofErr w:type="spellEnd"/>
      <w:r w:rsidR="00A0198D">
        <w:rPr>
          <w:rFonts w:ascii="Times New Roman" w:eastAsia="MS Mincho" w:hAnsi="Times New Roman" w:cs="Times New Roman"/>
          <w:kern w:val="0"/>
          <w:sz w:val="20"/>
          <w:szCs w:val="20"/>
          <w:lang w:val="en-US" w:bidi="ar-SA"/>
          <w14:ligatures w14:val="none"/>
        </w:rPr>
        <w:t xml:space="preserve"> des </w:t>
      </w:r>
      <w:proofErr w:type="spellStart"/>
      <w:r w:rsidR="00A0198D">
        <w:rPr>
          <w:rFonts w:ascii="Times New Roman" w:eastAsia="MS Mincho" w:hAnsi="Times New Roman" w:cs="Times New Roman"/>
          <w:kern w:val="0"/>
          <w:sz w:val="20"/>
          <w:szCs w:val="20"/>
          <w:lang w:val="en-US" w:bidi="ar-SA"/>
          <w14:ligatures w14:val="none"/>
        </w:rPr>
        <w:t>Obligataires</w:t>
      </w:r>
      <w:proofErr w:type="spellEnd"/>
      <w:r w:rsidR="00A0198D">
        <w:rPr>
          <w:rFonts w:ascii="Times New Roman" w:eastAsia="MS Mincho" w:hAnsi="Times New Roman" w:cs="Times New Roman"/>
          <w:kern w:val="0"/>
          <w:sz w:val="20"/>
          <w:szCs w:val="20"/>
          <w:lang w:val="en-US" w:bidi="ar-SA"/>
          <w14:ligatures w14:val="none"/>
        </w:rPr>
        <w:t>. Les d</w:t>
      </w:r>
      <w:r w:rsidR="00A0198D" w:rsidRPr="00CA74B8">
        <w:rPr>
          <w:rFonts w:ascii="Times New Roman" w:eastAsia="MS Mincho" w:hAnsi="Times New Roman" w:cs="Times New Roman"/>
          <w:kern w:val="0"/>
          <w:sz w:val="20"/>
          <w:szCs w:val="20"/>
          <w:lang w:val="fr-FR" w:bidi="ar-SA"/>
          <w14:ligatures w14:val="none"/>
        </w:rPr>
        <w:t>é</w:t>
      </w:r>
      <w:r w:rsidR="00A0198D">
        <w:rPr>
          <w:rFonts w:ascii="Times New Roman" w:eastAsia="MS Mincho" w:hAnsi="Times New Roman" w:cs="Times New Roman"/>
          <w:kern w:val="0"/>
          <w:sz w:val="20"/>
          <w:szCs w:val="20"/>
          <w:lang w:val="en-US" w:bidi="ar-SA"/>
          <w14:ligatures w14:val="none"/>
        </w:rPr>
        <w:t xml:space="preserve">tails des </w:t>
      </w:r>
      <w:proofErr w:type="spellStart"/>
      <w:r w:rsidR="00A0198D">
        <w:rPr>
          <w:rFonts w:ascii="Times New Roman" w:eastAsia="MS Mincho" w:hAnsi="Times New Roman" w:cs="Times New Roman"/>
          <w:kern w:val="0"/>
          <w:sz w:val="20"/>
          <w:szCs w:val="20"/>
          <w:lang w:val="en-US" w:bidi="ar-SA"/>
          <w14:ligatures w14:val="none"/>
        </w:rPr>
        <w:t>comptes</w:t>
      </w:r>
      <w:proofErr w:type="spellEnd"/>
      <w:r w:rsidR="00A0198D">
        <w:rPr>
          <w:rFonts w:ascii="Times New Roman" w:eastAsia="MS Mincho" w:hAnsi="Times New Roman" w:cs="Times New Roman"/>
          <w:kern w:val="0"/>
          <w:sz w:val="20"/>
          <w:szCs w:val="20"/>
          <w:lang w:val="en-US" w:bidi="ar-SA"/>
          <w14:ligatures w14:val="none"/>
        </w:rPr>
        <w:t xml:space="preserve"> et les </w:t>
      </w:r>
      <w:proofErr w:type="spellStart"/>
      <w:r w:rsidR="00A0198D">
        <w:rPr>
          <w:rFonts w:ascii="Times New Roman" w:eastAsia="MS Mincho" w:hAnsi="Times New Roman" w:cs="Times New Roman"/>
          <w:kern w:val="0"/>
          <w:sz w:val="20"/>
          <w:szCs w:val="20"/>
          <w:lang w:val="en-US" w:bidi="ar-SA"/>
          <w14:ligatures w14:val="none"/>
        </w:rPr>
        <w:t>termes</w:t>
      </w:r>
      <w:proofErr w:type="spellEnd"/>
      <w:r w:rsidR="00A0198D">
        <w:rPr>
          <w:rFonts w:ascii="Times New Roman" w:eastAsia="MS Mincho" w:hAnsi="Times New Roman" w:cs="Times New Roman"/>
          <w:kern w:val="0"/>
          <w:sz w:val="20"/>
          <w:szCs w:val="20"/>
          <w:lang w:val="en-US" w:bidi="ar-SA"/>
          <w14:ligatures w14:val="none"/>
        </w:rPr>
        <w:t xml:space="preserve"> et conditions des gages </w:t>
      </w:r>
      <w:proofErr w:type="spellStart"/>
      <w:r w:rsidR="00A0198D">
        <w:rPr>
          <w:rFonts w:ascii="Times New Roman" w:eastAsia="MS Mincho" w:hAnsi="Times New Roman" w:cs="Times New Roman"/>
          <w:kern w:val="0"/>
          <w:sz w:val="20"/>
          <w:szCs w:val="20"/>
          <w:lang w:val="en-US" w:bidi="ar-SA"/>
          <w14:ligatures w14:val="none"/>
        </w:rPr>
        <w:t>respectifs</w:t>
      </w:r>
      <w:proofErr w:type="spellEnd"/>
      <w:r w:rsidR="00A0198D">
        <w:rPr>
          <w:rFonts w:ascii="Times New Roman" w:eastAsia="MS Mincho" w:hAnsi="Times New Roman" w:cs="Times New Roman"/>
          <w:kern w:val="0"/>
          <w:sz w:val="20"/>
          <w:szCs w:val="20"/>
          <w:lang w:val="en-US" w:bidi="ar-SA"/>
          <w14:ligatures w14:val="none"/>
        </w:rPr>
        <w:t xml:space="preserve"> </w:t>
      </w:r>
      <w:proofErr w:type="spellStart"/>
      <w:r w:rsidR="00A0198D">
        <w:rPr>
          <w:rFonts w:ascii="Times New Roman" w:eastAsia="MS Mincho" w:hAnsi="Times New Roman" w:cs="Times New Roman"/>
          <w:kern w:val="0"/>
          <w:sz w:val="20"/>
          <w:szCs w:val="20"/>
          <w:lang w:val="en-US" w:bidi="ar-SA"/>
          <w14:ligatures w14:val="none"/>
        </w:rPr>
        <w:t>seront</w:t>
      </w:r>
      <w:proofErr w:type="spellEnd"/>
      <w:r w:rsidR="00A0198D">
        <w:rPr>
          <w:rFonts w:ascii="Times New Roman" w:eastAsia="MS Mincho" w:hAnsi="Times New Roman" w:cs="Times New Roman"/>
          <w:kern w:val="0"/>
          <w:sz w:val="20"/>
          <w:szCs w:val="20"/>
          <w:lang w:val="en-US" w:bidi="ar-SA"/>
          <w14:ligatures w14:val="none"/>
        </w:rPr>
        <w:t xml:space="preserve"> stipules dans les documents de </w:t>
      </w:r>
      <w:proofErr w:type="spellStart"/>
      <w:r w:rsidR="00A0198D">
        <w:rPr>
          <w:rFonts w:ascii="Times New Roman" w:eastAsia="MS Mincho" w:hAnsi="Times New Roman" w:cs="Times New Roman"/>
          <w:kern w:val="0"/>
          <w:sz w:val="20"/>
          <w:szCs w:val="20"/>
          <w:lang w:val="en-US" w:bidi="ar-SA"/>
          <w14:ligatures w14:val="none"/>
        </w:rPr>
        <w:t>securite</w:t>
      </w:r>
      <w:proofErr w:type="spellEnd"/>
      <w:r w:rsidR="00A0198D">
        <w:rPr>
          <w:rFonts w:ascii="Times New Roman" w:eastAsia="MS Mincho" w:hAnsi="Times New Roman" w:cs="Times New Roman"/>
          <w:kern w:val="0"/>
          <w:sz w:val="20"/>
          <w:szCs w:val="20"/>
          <w:lang w:val="en-US" w:bidi="ar-SA"/>
          <w14:ligatures w14:val="none"/>
        </w:rPr>
        <w:t xml:space="preserve"> qui </w:t>
      </w:r>
      <w:proofErr w:type="spellStart"/>
      <w:r w:rsidR="00A0198D">
        <w:rPr>
          <w:rFonts w:ascii="Times New Roman" w:eastAsia="MS Mincho" w:hAnsi="Times New Roman" w:cs="Times New Roman"/>
          <w:kern w:val="0"/>
          <w:sz w:val="20"/>
          <w:szCs w:val="20"/>
          <w:lang w:val="en-US" w:bidi="ar-SA"/>
          <w14:ligatures w14:val="none"/>
        </w:rPr>
        <w:t>seront</w:t>
      </w:r>
      <w:proofErr w:type="spellEnd"/>
      <w:r w:rsidR="00A0198D">
        <w:rPr>
          <w:rFonts w:ascii="Times New Roman" w:eastAsia="MS Mincho" w:hAnsi="Times New Roman" w:cs="Times New Roman"/>
          <w:kern w:val="0"/>
          <w:sz w:val="20"/>
          <w:szCs w:val="20"/>
          <w:lang w:val="en-US" w:bidi="ar-SA"/>
          <w14:ligatures w14:val="none"/>
        </w:rPr>
        <w:t xml:space="preserve"> </w:t>
      </w:r>
      <w:proofErr w:type="spellStart"/>
      <w:r w:rsidR="00A0198D">
        <w:rPr>
          <w:rFonts w:ascii="Times New Roman" w:eastAsia="MS Mincho" w:hAnsi="Times New Roman" w:cs="Times New Roman"/>
          <w:kern w:val="0"/>
          <w:sz w:val="20"/>
          <w:szCs w:val="20"/>
          <w:lang w:val="en-US" w:bidi="ar-SA"/>
          <w14:ligatures w14:val="none"/>
        </w:rPr>
        <w:t>disponibles</w:t>
      </w:r>
      <w:proofErr w:type="spellEnd"/>
      <w:r w:rsidR="00A0198D">
        <w:rPr>
          <w:rFonts w:ascii="Times New Roman" w:eastAsia="MS Mincho" w:hAnsi="Times New Roman" w:cs="Times New Roman"/>
          <w:kern w:val="0"/>
          <w:sz w:val="20"/>
          <w:szCs w:val="20"/>
          <w:lang w:val="en-US" w:bidi="ar-SA"/>
          <w14:ligatures w14:val="none"/>
        </w:rPr>
        <w:t xml:space="preserve"> pour inspection par les </w:t>
      </w:r>
      <w:proofErr w:type="spellStart"/>
      <w:r w:rsidR="00A0198D">
        <w:rPr>
          <w:rFonts w:ascii="Times New Roman" w:eastAsia="MS Mincho" w:hAnsi="Times New Roman" w:cs="Times New Roman"/>
          <w:kern w:val="0"/>
          <w:sz w:val="20"/>
          <w:szCs w:val="20"/>
          <w:lang w:val="en-US" w:bidi="ar-SA"/>
          <w14:ligatures w14:val="none"/>
        </w:rPr>
        <w:t>detenteurs</w:t>
      </w:r>
      <w:proofErr w:type="spellEnd"/>
      <w:r w:rsidR="00A0198D">
        <w:rPr>
          <w:rFonts w:ascii="Times New Roman" w:eastAsia="MS Mincho" w:hAnsi="Times New Roman" w:cs="Times New Roman"/>
          <w:kern w:val="0"/>
          <w:sz w:val="20"/>
          <w:szCs w:val="20"/>
          <w:lang w:val="en-US" w:bidi="ar-SA"/>
          <w14:ligatures w14:val="none"/>
        </w:rPr>
        <w:t xml:space="preserve"> </w:t>
      </w:r>
      <w:proofErr w:type="spellStart"/>
      <w:r w:rsidR="00A0198D">
        <w:rPr>
          <w:rFonts w:ascii="Times New Roman" w:eastAsia="MS Mincho" w:hAnsi="Times New Roman" w:cs="Times New Roman"/>
          <w:kern w:val="0"/>
          <w:sz w:val="20"/>
          <w:szCs w:val="20"/>
          <w:lang w:val="en-US" w:bidi="ar-SA"/>
          <w14:ligatures w14:val="none"/>
        </w:rPr>
        <w:t>d’obligations</w:t>
      </w:r>
      <w:proofErr w:type="spellEnd"/>
      <w:r w:rsidR="00A0198D">
        <w:rPr>
          <w:rFonts w:ascii="Times New Roman" w:eastAsia="MS Mincho" w:hAnsi="Times New Roman" w:cs="Times New Roman"/>
          <w:kern w:val="0"/>
          <w:sz w:val="20"/>
          <w:szCs w:val="20"/>
          <w:lang w:val="en-US" w:bidi="ar-SA"/>
          <w14:ligatures w14:val="none"/>
        </w:rPr>
        <w:t xml:space="preserve"> au siege social de </w:t>
      </w:r>
      <w:proofErr w:type="spellStart"/>
      <w:r w:rsidR="00A0198D">
        <w:rPr>
          <w:rFonts w:ascii="Times New Roman" w:eastAsia="MS Mincho" w:hAnsi="Times New Roman" w:cs="Times New Roman"/>
          <w:kern w:val="0"/>
          <w:sz w:val="20"/>
          <w:szCs w:val="20"/>
          <w:lang w:val="en-US" w:bidi="ar-SA"/>
          <w14:ligatures w14:val="none"/>
        </w:rPr>
        <w:t>l’emetteur</w:t>
      </w:r>
      <w:proofErr w:type="spellEnd"/>
      <w:r w:rsidR="00A0198D">
        <w:rPr>
          <w:rFonts w:ascii="Times New Roman" w:eastAsia="MS Mincho" w:hAnsi="Times New Roman" w:cs="Times New Roman"/>
          <w:kern w:val="0"/>
          <w:sz w:val="20"/>
          <w:szCs w:val="20"/>
          <w:lang w:val="en-US" w:bidi="ar-SA"/>
          <w14:ligatures w14:val="none"/>
        </w:rPr>
        <w:t xml:space="preserve"> (Gridiron, One </w:t>
      </w:r>
      <w:proofErr w:type="spellStart"/>
      <w:r w:rsidR="00A0198D">
        <w:rPr>
          <w:rFonts w:ascii="Times New Roman" w:eastAsia="MS Mincho" w:hAnsi="Times New Roman" w:cs="Times New Roman"/>
          <w:kern w:val="0"/>
          <w:sz w:val="20"/>
          <w:szCs w:val="20"/>
          <w:lang w:val="en-US" w:bidi="ar-SA"/>
          <w14:ligatures w14:val="none"/>
        </w:rPr>
        <w:t>Prancras</w:t>
      </w:r>
      <w:proofErr w:type="spellEnd"/>
      <w:r w:rsidR="00A0198D">
        <w:rPr>
          <w:rFonts w:ascii="Times New Roman" w:eastAsia="MS Mincho" w:hAnsi="Times New Roman" w:cs="Times New Roman"/>
          <w:kern w:val="0"/>
          <w:sz w:val="20"/>
          <w:szCs w:val="20"/>
          <w:lang w:val="en-US" w:bidi="ar-SA"/>
          <w14:ligatures w14:val="none"/>
        </w:rPr>
        <w:t xml:space="preserve"> Square, </w:t>
      </w:r>
      <w:proofErr w:type="spellStart"/>
      <w:r w:rsidR="00A0198D">
        <w:rPr>
          <w:rFonts w:ascii="Times New Roman" w:eastAsia="MS Mincho" w:hAnsi="Times New Roman" w:cs="Times New Roman"/>
          <w:kern w:val="0"/>
          <w:sz w:val="20"/>
          <w:szCs w:val="20"/>
          <w:lang w:val="en-US" w:bidi="ar-SA"/>
          <w14:ligatures w14:val="none"/>
        </w:rPr>
        <w:t>Londres</w:t>
      </w:r>
      <w:proofErr w:type="spellEnd"/>
      <w:r w:rsidR="00A0198D">
        <w:rPr>
          <w:rFonts w:ascii="Times New Roman" w:eastAsia="MS Mincho" w:hAnsi="Times New Roman" w:cs="Times New Roman"/>
          <w:kern w:val="0"/>
          <w:sz w:val="20"/>
          <w:szCs w:val="20"/>
          <w:lang w:val="en-US" w:bidi="ar-SA"/>
          <w14:ligatures w14:val="none"/>
        </w:rPr>
        <w:t>, N1C 4AG, United Kingdom).</w:t>
      </w:r>
    </w:p>
    <w:p w14:paraId="6A9E30AB" w14:textId="250D26DE" w:rsidR="00B13D3E" w:rsidRPr="00CA74B8" w:rsidRDefault="00B13D3E" w:rsidP="00B13D3E">
      <w:pPr>
        <w:keepNext/>
        <w:spacing w:after="60" w:line="240" w:lineRule="auto"/>
        <w:jc w:val="both"/>
        <w:rPr>
          <w:rFonts w:ascii="Times New Roman" w:eastAsia="MS Mincho" w:hAnsi="Times New Roman" w:cs="Times New Roman"/>
          <w:kern w:val="0"/>
          <w:sz w:val="20"/>
          <w:szCs w:val="20"/>
          <w:lang w:val="fr-FR" w:bidi="ar-SA"/>
          <w14:ligatures w14:val="none"/>
        </w:rPr>
      </w:pPr>
      <w:proofErr w:type="spellStart"/>
      <w:r w:rsidRPr="00CA74B8">
        <w:rPr>
          <w:rFonts w:ascii="Times New Roman" w:eastAsia="MS Mincho" w:hAnsi="Times New Roman" w:cs="Times New Roman"/>
          <w:b/>
          <w:bCs/>
          <w:i/>
          <w:iCs/>
          <w:kern w:val="0"/>
          <w:sz w:val="20"/>
          <w:szCs w:val="20"/>
          <w:lang w:val="fr-FR" w:bidi="ar-SA"/>
          <w14:ligatures w14:val="none"/>
        </w:rPr>
        <w:t>Staking</w:t>
      </w:r>
      <w:proofErr w:type="spellEnd"/>
      <w:r w:rsidRPr="00CA74B8">
        <w:rPr>
          <w:rFonts w:ascii="Times New Roman" w:eastAsia="MS Mincho" w:hAnsi="Times New Roman" w:cs="Times New Roman"/>
          <w:b/>
          <w:bCs/>
          <w:i/>
          <w:iCs/>
          <w:kern w:val="0"/>
          <w:sz w:val="20"/>
          <w:szCs w:val="20"/>
          <w:lang w:val="fr-FR" w:bidi="ar-SA"/>
          <w14:ligatures w14:val="none"/>
        </w:rPr>
        <w:t xml:space="preserve"> :</w:t>
      </w:r>
      <w:r w:rsidRPr="00CA74B8">
        <w:rPr>
          <w:rFonts w:ascii="Times New Roman" w:eastAsia="MS Mincho" w:hAnsi="Times New Roman" w:cs="Times New Roman"/>
          <w:kern w:val="0"/>
          <w:sz w:val="20"/>
          <w:szCs w:val="20"/>
          <w:lang w:val="fr-FR" w:bidi="ar-SA"/>
          <w14:ligatures w14:val="none"/>
        </w:rPr>
        <w:t xml:space="preserve"> L’Émetteur peut utiliser les services d’un prestataire de services (le « </w:t>
      </w:r>
      <w:r w:rsidRPr="00CA74B8">
        <w:rPr>
          <w:rFonts w:ascii="Times New Roman" w:eastAsia="MS Mincho" w:hAnsi="Times New Roman" w:cs="Times New Roman"/>
          <w:b/>
          <w:bCs/>
          <w:kern w:val="0"/>
          <w:sz w:val="20"/>
          <w:szCs w:val="20"/>
          <w:lang w:val="fr-FR" w:bidi="ar-SA"/>
          <w14:ligatures w14:val="none"/>
        </w:rPr>
        <w:t xml:space="preserve">Prestataire de </w:t>
      </w:r>
      <w:proofErr w:type="spellStart"/>
      <w:r w:rsidRPr="00CA74B8">
        <w:rPr>
          <w:rFonts w:ascii="Times New Roman" w:eastAsia="MS Mincho" w:hAnsi="Times New Roman" w:cs="Times New Roman"/>
          <w:b/>
          <w:bCs/>
          <w:kern w:val="0"/>
          <w:sz w:val="20"/>
          <w:szCs w:val="20"/>
          <w:lang w:val="fr-FR" w:bidi="ar-SA"/>
          <w14:ligatures w14:val="none"/>
        </w:rPr>
        <w:t>Staking</w:t>
      </w:r>
      <w:proofErr w:type="spellEnd"/>
      <w:r w:rsidRPr="00CA74B8">
        <w:rPr>
          <w:rFonts w:ascii="Times New Roman" w:eastAsia="MS Mincho" w:hAnsi="Times New Roman" w:cs="Times New Roman"/>
          <w:kern w:val="0"/>
          <w:sz w:val="20"/>
          <w:szCs w:val="20"/>
          <w:lang w:val="fr-FR" w:bidi="ar-SA"/>
          <w14:ligatures w14:val="none"/>
        </w:rPr>
        <w:t xml:space="preserve"> ») pour appliquer une partie ou la totalité des unités de la Crypto-monnaie faisant partie des Crypto-monnaies Déposées au </w:t>
      </w:r>
      <w:proofErr w:type="spellStart"/>
      <w:r w:rsidRPr="00CA74B8">
        <w:rPr>
          <w:rFonts w:ascii="Times New Roman" w:eastAsia="MS Mincho" w:hAnsi="Times New Roman" w:cs="Times New Roman"/>
          <w:kern w:val="0"/>
          <w:sz w:val="20"/>
          <w:szCs w:val="20"/>
          <w:lang w:val="fr-FR" w:bidi="ar-SA"/>
          <w14:ligatures w14:val="none"/>
        </w:rPr>
        <w:t>Staking</w:t>
      </w:r>
      <w:proofErr w:type="spellEnd"/>
      <w:r w:rsidRPr="00CA74B8">
        <w:rPr>
          <w:rFonts w:ascii="Times New Roman" w:eastAsia="MS Mincho" w:hAnsi="Times New Roman" w:cs="Times New Roman"/>
          <w:kern w:val="0"/>
          <w:sz w:val="20"/>
          <w:szCs w:val="20"/>
          <w:lang w:val="fr-FR" w:bidi="ar-SA"/>
          <w14:ligatures w14:val="none"/>
        </w:rPr>
        <w:t>. Toute unité de la Crypto-monnaie reçue en récompense pour ce processus (sous réserve de frais applicables) fera partie du Droit d’Attribution de Crypto-monnaie.</w:t>
      </w:r>
    </w:p>
    <w:p w14:paraId="217AC2B2" w14:textId="765D6F75" w:rsidR="0076552A" w:rsidRPr="00CA74B8" w:rsidRDefault="0076552A" w:rsidP="008C1A14">
      <w:pPr>
        <w:keepNext/>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Remboursement obligatoire :</w:t>
      </w:r>
      <w:r w:rsidRPr="00CA74B8">
        <w:rPr>
          <w:rFonts w:ascii="Times New Roman" w:eastAsia="MS Mincho" w:hAnsi="Times New Roman" w:cs="Times New Roman"/>
          <w:b/>
          <w:bCs/>
          <w:kern w:val="0"/>
          <w:sz w:val="20"/>
          <w:szCs w:val="20"/>
          <w:lang w:val="fr-FR" w:bidi="ar-SA"/>
          <w14:ligatures w14:val="none"/>
        </w:rPr>
        <w:t xml:space="preserve"> </w:t>
      </w:r>
      <w:r w:rsidRPr="00CA74B8">
        <w:rPr>
          <w:rFonts w:ascii="Times New Roman" w:eastAsia="MS Mincho" w:hAnsi="Times New Roman" w:cs="Times New Roman"/>
          <w:kern w:val="0"/>
          <w:sz w:val="20"/>
          <w:szCs w:val="20"/>
          <w:lang w:val="fr-FR" w:bidi="ar-SA"/>
          <w14:ligatures w14:val="none"/>
        </w:rPr>
        <w:t>En cas de survenance de certains événements de remboursement obligatoire, l'Émetteur peut, à tout moment (sans toutefois y être tenu), notifier aux Obligataires l'événement de remboursement obligatoire concerné (l'"</w:t>
      </w:r>
      <w:r w:rsidRPr="00CA74B8">
        <w:rPr>
          <w:rFonts w:ascii="Times New Roman" w:eastAsia="MS Mincho" w:hAnsi="Times New Roman" w:cs="Times New Roman"/>
          <w:b/>
          <w:bCs/>
          <w:kern w:val="0"/>
          <w:sz w:val="20"/>
          <w:szCs w:val="20"/>
          <w:lang w:val="fr-FR" w:bidi="ar-SA"/>
          <w14:ligatures w14:val="none"/>
        </w:rPr>
        <w:t>Avis de Remboursement Obligatoire</w:t>
      </w:r>
      <w:r w:rsidRPr="00CA74B8">
        <w:rPr>
          <w:rFonts w:ascii="Times New Roman" w:eastAsia="MS Mincho" w:hAnsi="Times New Roman" w:cs="Times New Roman"/>
          <w:kern w:val="0"/>
          <w:sz w:val="20"/>
          <w:szCs w:val="20"/>
          <w:lang w:val="fr-FR" w:bidi="ar-SA"/>
          <w14:ligatures w14:val="none"/>
        </w:rPr>
        <w:t xml:space="preserve">") et rembourser les Obligations à la date de remboursement obligatoire spécifiée dans l'Avis de Remboursement Obligatoire à leur Prix de Remboursement Obligatoire (tel que défini ci-dessous). Ces événements de remboursement obligatoire comprennent, entre autres, l'entrée en vigueur de toute nouvelle loi ou réglementation exigeant que l'Émetteur obtienne une licence pour pouvoir remplir ses obligations au titre des Obligations ; ou tout changement dans le traitement fiscal de la Crypto-monnaie ; ou si l'Émetteur a été enjoint par un tribunal compétent ou est autrement tenu par la loi d'organiser un </w:t>
      </w:r>
      <w:r w:rsidRPr="00CA74B8">
        <w:rPr>
          <w:rFonts w:ascii="Times New Roman" w:eastAsia="MS Mincho" w:hAnsi="Times New Roman" w:cs="Times New Roman"/>
          <w:kern w:val="0"/>
          <w:sz w:val="20"/>
          <w:szCs w:val="20"/>
          <w:lang w:val="fr-FR" w:bidi="ar-SA"/>
          <w14:ligatures w14:val="none"/>
        </w:rPr>
        <w:lastRenderedPageBreak/>
        <w:t>remboursement obligatoire. L'exercice du droit de remboursement obligatoire par l'Émetteur entraîne inévitablement le remboursement des obligations pour les Obligataires.</w:t>
      </w:r>
    </w:p>
    <w:p w14:paraId="412805A6" w14:textId="5F461E13" w:rsidR="0076552A" w:rsidRPr="00CA74B8" w:rsidRDefault="0076552A" w:rsidP="008C1A14">
      <w:pPr>
        <w:keepNext/>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Remboursement volontaire :</w:t>
      </w:r>
      <w:r w:rsidRPr="00CA74B8">
        <w:rPr>
          <w:rFonts w:ascii="Times New Roman" w:eastAsia="MS Mincho" w:hAnsi="Times New Roman" w:cs="Times New Roman"/>
          <w:kern w:val="0"/>
          <w:sz w:val="20"/>
          <w:szCs w:val="20"/>
          <w:lang w:val="fr-FR" w:bidi="ar-SA"/>
          <w14:ligatures w14:val="none"/>
        </w:rPr>
        <w:t xml:space="preserve"> Les Obligations n'ont pas de date d'échéance fixe. Toutefois, chaque Obligataire peut exiger de l'Émetteur qu'il rembourse ses Obligations contre la livraison physique du Droit d'Attribution de Crypto-monnaie ou (en exécution de sa réclamation de livraison de la Crypto-monnaie) contre un paiement en espèces en </w:t>
      </w:r>
      <w:r w:rsidR="00E85157">
        <w:rPr>
          <w:rFonts w:ascii="Times New Roman" w:eastAsia="MS Mincho" w:hAnsi="Times New Roman" w:cs="Times New Roman"/>
          <w:kern w:val="0"/>
          <w:sz w:val="20"/>
          <w:szCs w:val="20"/>
          <w:lang w:val="fr-FR" w:bidi="ar-SA"/>
          <w14:ligatures w14:val="none"/>
        </w:rPr>
        <w:t>EUR 100</w:t>
      </w:r>
      <w:r w:rsidRPr="00CA74B8">
        <w:rPr>
          <w:rFonts w:ascii="Times New Roman" w:eastAsia="MS Mincho" w:hAnsi="Times New Roman" w:cs="Times New Roman"/>
          <w:kern w:val="0"/>
          <w:sz w:val="20"/>
          <w:szCs w:val="20"/>
          <w:lang w:val="fr-FR" w:bidi="ar-SA"/>
          <w14:ligatures w14:val="none"/>
        </w:rPr>
        <w:t xml:space="preserve"> (le "</w:t>
      </w:r>
      <w:r w:rsidRPr="00CA74B8">
        <w:rPr>
          <w:rFonts w:ascii="Times New Roman" w:eastAsia="MS Mincho" w:hAnsi="Times New Roman" w:cs="Times New Roman"/>
          <w:b/>
          <w:bCs/>
          <w:kern w:val="0"/>
          <w:sz w:val="20"/>
          <w:szCs w:val="20"/>
          <w:lang w:val="fr-FR" w:bidi="ar-SA"/>
          <w14:ligatures w14:val="none"/>
        </w:rPr>
        <w:t>Remboursement Volontaire</w:t>
      </w:r>
      <w:r w:rsidRPr="00CA74B8">
        <w:rPr>
          <w:rFonts w:ascii="Times New Roman" w:eastAsia="MS Mincho" w:hAnsi="Times New Roman" w:cs="Times New Roman"/>
          <w:kern w:val="0"/>
          <w:sz w:val="20"/>
          <w:szCs w:val="20"/>
          <w:lang w:val="fr-FR" w:bidi="ar-SA"/>
          <w14:ligatures w14:val="none"/>
        </w:rPr>
        <w:t xml:space="preserve">"). Si les Obligations sont remboursées contre paiement en espèces, le montant du remboursement sera égal au produit de la vente du Droit d'Attribution de Crypto-monnaie selon la Procédure d'Exécution de la Crypto-monnaie (telle que définie ci-dessous), dans la mesure où une telle procédure aboutit à une vente réussie. Pour obtenir le remboursement de ses Obligations, l'Obligataire doit (i) soumettre un formulaire de remboursement accompagné de tous les documents KYC requis, (ii) payer une commission de rachat anticipé d'un montant de 100,00 </w:t>
      </w:r>
      <w:r w:rsidR="00B5596E">
        <w:rPr>
          <w:rFonts w:ascii="Times New Roman" w:eastAsia="MS Mincho" w:hAnsi="Times New Roman" w:cs="Times New Roman"/>
          <w:kern w:val="0"/>
          <w:sz w:val="20"/>
          <w:szCs w:val="20"/>
          <w:lang w:val="fr-FR" w:bidi="ar-SA"/>
          <w14:ligatures w14:val="none"/>
        </w:rPr>
        <w:t>EUR</w:t>
      </w:r>
      <w:r w:rsidRPr="00CA74B8">
        <w:rPr>
          <w:rFonts w:ascii="Times New Roman" w:eastAsia="MS Mincho" w:hAnsi="Times New Roman" w:cs="Times New Roman"/>
          <w:kern w:val="0"/>
          <w:sz w:val="20"/>
          <w:szCs w:val="20"/>
          <w:lang w:val="fr-FR" w:bidi="ar-SA"/>
          <w14:ligatures w14:val="none"/>
        </w:rPr>
        <w:t xml:space="preserve"> (sujette à certaines exemptions) (la "</w:t>
      </w:r>
      <w:r w:rsidRPr="00CA74B8">
        <w:rPr>
          <w:rFonts w:ascii="Times New Roman" w:eastAsia="MS Mincho" w:hAnsi="Times New Roman" w:cs="Times New Roman"/>
          <w:b/>
          <w:bCs/>
          <w:kern w:val="0"/>
          <w:sz w:val="20"/>
          <w:szCs w:val="20"/>
          <w:lang w:val="fr-FR" w:bidi="ar-SA"/>
          <w14:ligatures w14:val="none"/>
        </w:rPr>
        <w:t>Commission de Rachat Anticipé</w:t>
      </w:r>
      <w:r w:rsidRPr="00CA74B8">
        <w:rPr>
          <w:rFonts w:ascii="Times New Roman" w:eastAsia="MS Mincho" w:hAnsi="Times New Roman" w:cs="Times New Roman"/>
          <w:kern w:val="0"/>
          <w:sz w:val="20"/>
          <w:szCs w:val="20"/>
          <w:lang w:val="fr-FR" w:bidi="ar-SA"/>
          <w14:ligatures w14:val="none"/>
        </w:rPr>
        <w:t>") et (iii) transférer les Obligations pour lesquelles le droit de Remboursement Volontaire a été exercé, sur le Compte d'Émission franco de paiement. Si un Obligataire exerce son droit de Remboursement Volontaire vis-à-vis de l'Émetteur ou vis-à-vis d'un Participant Autorisé, des frais d'exercice en plus de la Commission de Rachat Anticipé (le cas échéant) d'un montant égal à 2,50 pour cent du Droit d'Attribution de Crypto-monnaie pour chaque Obligation pour laquelle le droit de Remboursement Volontaire est exercé seront facturés (les "</w:t>
      </w:r>
      <w:r w:rsidRPr="00CA74B8">
        <w:rPr>
          <w:rFonts w:ascii="Times New Roman" w:eastAsia="MS Mincho" w:hAnsi="Times New Roman" w:cs="Times New Roman"/>
          <w:b/>
          <w:bCs/>
          <w:kern w:val="0"/>
          <w:sz w:val="20"/>
          <w:szCs w:val="20"/>
          <w:lang w:val="fr-FR" w:bidi="ar-SA"/>
          <w14:ligatures w14:val="none"/>
        </w:rPr>
        <w:t>Frais d'Exercice</w:t>
      </w:r>
      <w:r w:rsidRPr="00CA74B8">
        <w:rPr>
          <w:rFonts w:ascii="Times New Roman" w:eastAsia="MS Mincho" w:hAnsi="Times New Roman" w:cs="Times New Roman"/>
          <w:kern w:val="0"/>
          <w:sz w:val="20"/>
          <w:szCs w:val="20"/>
          <w:lang w:val="fr-FR" w:bidi="ar-SA"/>
          <w14:ligatures w14:val="none"/>
        </w:rPr>
        <w:t>"). Toutefois, si l'Obligataire vend ses Obligations sur le marché boursier, aucuns frais de remboursement de l'Émetteur ou du Participant Autorisé ne seront dus. Si un Obligataire exerce son droit de Remboursement Volontaire et opte pour un remboursement en espèces, l'Émetteur donnera instruction à un agent d'exécution de vendre une quantité de Crypto-monnaie égale au Droit d'Attribution de Crypto-monnaie (la "</w:t>
      </w:r>
      <w:r w:rsidRPr="00CA74B8">
        <w:rPr>
          <w:rFonts w:ascii="Times New Roman" w:eastAsia="MS Mincho" w:hAnsi="Times New Roman" w:cs="Times New Roman"/>
          <w:b/>
          <w:bCs/>
          <w:kern w:val="0"/>
          <w:sz w:val="20"/>
          <w:szCs w:val="20"/>
          <w:lang w:val="fr-FR" w:bidi="ar-SA"/>
          <w14:ligatures w14:val="none"/>
        </w:rPr>
        <w:t>Procédure d'Exécution de la Crypto-monnaie</w:t>
      </w:r>
      <w:r w:rsidRPr="00CA74B8">
        <w:rPr>
          <w:rFonts w:ascii="Times New Roman" w:eastAsia="MS Mincho" w:hAnsi="Times New Roman" w:cs="Times New Roman"/>
          <w:kern w:val="0"/>
          <w:sz w:val="20"/>
          <w:szCs w:val="20"/>
          <w:lang w:val="fr-FR" w:bidi="ar-SA"/>
          <w14:ligatures w14:val="none"/>
        </w:rPr>
        <w:t xml:space="preserve">"). Le produit de la vente de la Procédure d'Exécution de la Crypto-monnaie (moins les frais applicables liés à la vente des unités de Crypto-monnaie et au transfert du montant en espèces) sera utilisé pour le remboursement des Obligations. L'Émetteur peut choisir de facturer des Frais d'Exercice </w:t>
      </w:r>
      <w:r w:rsidR="00BF24A3" w:rsidRPr="00CA74B8">
        <w:rPr>
          <w:rFonts w:ascii="Times New Roman" w:eastAsia="MS Mincho" w:hAnsi="Times New Roman" w:cs="Times New Roman"/>
          <w:kern w:val="0"/>
          <w:sz w:val="20"/>
          <w:szCs w:val="20"/>
          <w:lang w:val="fr-FR" w:bidi="ar-SA"/>
          <w14:ligatures w14:val="none"/>
        </w:rPr>
        <w:t>à l’Obligataire</w:t>
      </w:r>
      <w:r w:rsidRPr="00CA74B8">
        <w:rPr>
          <w:rFonts w:ascii="Times New Roman" w:eastAsia="MS Mincho" w:hAnsi="Times New Roman" w:cs="Times New Roman"/>
          <w:kern w:val="0"/>
          <w:sz w:val="20"/>
          <w:szCs w:val="20"/>
          <w:lang w:val="fr-FR" w:bidi="ar-SA"/>
          <w14:ligatures w14:val="none"/>
        </w:rPr>
        <w:t xml:space="preserve"> respectif même en cas de Procédure d'Exécution de la Crypto-monnaie partiellement ou totalement échouée.</w:t>
      </w:r>
    </w:p>
    <w:p w14:paraId="49FE7A29" w14:textId="03E472FD" w:rsidR="0076552A" w:rsidRPr="00CA74B8" w:rsidRDefault="0076552A" w:rsidP="0076552A">
      <w:pPr>
        <w:keepNext/>
        <w:spacing w:after="60" w:line="240" w:lineRule="auto"/>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Remboursement en cas de défaut :</w:t>
      </w:r>
      <w:r w:rsidRPr="00CA74B8">
        <w:rPr>
          <w:rFonts w:ascii="Times New Roman" w:eastAsia="MS Mincho" w:hAnsi="Times New Roman" w:cs="Times New Roman"/>
          <w:kern w:val="0"/>
          <w:sz w:val="20"/>
          <w:szCs w:val="20"/>
          <w:lang w:val="fr-FR" w:bidi="ar-SA"/>
          <w14:ligatures w14:val="none"/>
        </w:rPr>
        <w:t xml:space="preserve"> Les Obligations prévoient des cas de défaut permettant à chaque Obligataire de demander un remboursement immédiat correspondant au Droit d'Attribution de Crypto-monnaie.</w:t>
      </w:r>
    </w:p>
    <w:p w14:paraId="42F07EF8" w14:textId="7CDA575A" w:rsidR="0076552A" w:rsidRPr="00CA74B8" w:rsidRDefault="0076552A" w:rsidP="0076552A">
      <w:pPr>
        <w:keepNext/>
        <w:spacing w:after="60" w:line="240" w:lineRule="auto"/>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Ajustements au Droit d'Attribution de Crypto-monnaie :</w:t>
      </w:r>
      <w:r w:rsidRPr="00CA74B8">
        <w:rPr>
          <w:rFonts w:ascii="Times New Roman" w:eastAsia="MS Mincho" w:hAnsi="Times New Roman" w:cs="Times New Roman"/>
          <w:kern w:val="0"/>
          <w:sz w:val="20"/>
          <w:szCs w:val="20"/>
          <w:lang w:val="fr-FR" w:bidi="ar-SA"/>
          <w14:ligatures w14:val="none"/>
        </w:rPr>
        <w:t xml:space="preserve"> En cas de survenance de certains événements affectant la Crypto-monnaie sous-jacente et/ou le Droit d'Attribution de Crypto-monnaie (</w:t>
      </w:r>
      <w:proofErr w:type="spellStart"/>
      <w:r w:rsidRPr="00CA74B8">
        <w:rPr>
          <w:rFonts w:ascii="Times New Roman" w:eastAsia="MS Mincho" w:hAnsi="Times New Roman" w:cs="Times New Roman"/>
          <w:kern w:val="0"/>
          <w:sz w:val="20"/>
          <w:szCs w:val="20"/>
          <w:lang w:val="fr-FR" w:bidi="ar-SA"/>
          <w14:ligatures w14:val="none"/>
        </w:rPr>
        <w:t>cha</w:t>
      </w:r>
      <w:r w:rsidR="00BF24A3" w:rsidRPr="00CA74B8">
        <w:rPr>
          <w:rFonts w:ascii="Times New Roman" w:eastAsia="MS Mincho" w:hAnsi="Times New Roman" w:cs="Times New Roman"/>
          <w:kern w:val="0"/>
          <w:sz w:val="20"/>
          <w:szCs w:val="20"/>
          <w:lang w:val="fr-FR" w:bidi="ar-SA"/>
          <w14:ligatures w14:val="none"/>
        </w:rPr>
        <w:t>que</w:t>
      </w:r>
      <w:r w:rsidRPr="00CA74B8">
        <w:rPr>
          <w:rFonts w:ascii="Times New Roman" w:eastAsia="MS Mincho" w:hAnsi="Times New Roman" w:cs="Times New Roman"/>
          <w:kern w:val="0"/>
          <w:sz w:val="20"/>
          <w:szCs w:val="20"/>
          <w:lang w:val="fr-FR" w:bidi="ar-SA"/>
          <w14:ligatures w14:val="none"/>
        </w:rPr>
        <w:t>"</w:t>
      </w:r>
      <w:r w:rsidRPr="00CA74B8">
        <w:rPr>
          <w:rFonts w:ascii="Times New Roman" w:eastAsia="MS Mincho" w:hAnsi="Times New Roman" w:cs="Times New Roman"/>
          <w:b/>
          <w:bCs/>
          <w:kern w:val="0"/>
          <w:sz w:val="20"/>
          <w:szCs w:val="20"/>
          <w:lang w:val="fr-FR" w:bidi="ar-SA"/>
          <w14:ligatures w14:val="none"/>
        </w:rPr>
        <w:t>Événement</w:t>
      </w:r>
      <w:proofErr w:type="spellEnd"/>
      <w:r w:rsidRPr="00CA74B8">
        <w:rPr>
          <w:rFonts w:ascii="Times New Roman" w:eastAsia="MS Mincho" w:hAnsi="Times New Roman" w:cs="Times New Roman"/>
          <w:b/>
          <w:bCs/>
          <w:kern w:val="0"/>
          <w:sz w:val="20"/>
          <w:szCs w:val="20"/>
          <w:lang w:val="fr-FR" w:bidi="ar-SA"/>
          <w14:ligatures w14:val="none"/>
        </w:rPr>
        <w:t xml:space="preserve"> d'Ajustement</w:t>
      </w:r>
      <w:r w:rsidRPr="00CA74B8">
        <w:rPr>
          <w:rFonts w:ascii="Times New Roman" w:eastAsia="MS Mincho" w:hAnsi="Times New Roman" w:cs="Times New Roman"/>
          <w:kern w:val="0"/>
          <w:sz w:val="20"/>
          <w:szCs w:val="20"/>
          <w:lang w:val="fr-FR" w:bidi="ar-SA"/>
          <w14:ligatures w14:val="none"/>
        </w:rPr>
        <w:t>"), l'Émetteur apportera des ajustements à la Crypto-monnaie ou au Droit d'Attribution de Crypto-monnaie, suspendra les rééquilibrages programmés de l'Index, ou remplacera l'Index sous-jacent pertinent par un nouvel Index similaire, dans chaque cas si et dans la mesure jugée nécessaire à son avis.</w:t>
      </w:r>
    </w:p>
    <w:p w14:paraId="1B99D60D" w14:textId="1F43B7CD" w:rsidR="0076552A" w:rsidRPr="00CA74B8" w:rsidRDefault="0076552A" w:rsidP="0076552A">
      <w:pPr>
        <w:keepNext/>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Suspension des remboursements :</w:t>
      </w:r>
      <w:r w:rsidRPr="00CA74B8">
        <w:rPr>
          <w:rFonts w:ascii="Times New Roman" w:eastAsia="MS Mincho" w:hAnsi="Times New Roman" w:cs="Times New Roman"/>
          <w:kern w:val="0"/>
          <w:sz w:val="20"/>
          <w:szCs w:val="20"/>
          <w:lang w:val="fr-FR" w:bidi="ar-SA"/>
          <w14:ligatures w14:val="none"/>
        </w:rPr>
        <w:t xml:space="preserve"> En cas de survenance de certains événements causant une perturbation concernant (i) le commerce de la Crypto-monnaie, (ii) les services à fournir par un prestataire de services, (iii) le Dépositaire et/ou le protocole de toute Crypto-monnaie applicable ou (iv) tout calcul concernant les Obligations (chacun, un "</w:t>
      </w:r>
      <w:r w:rsidRPr="00CA74B8">
        <w:rPr>
          <w:rFonts w:ascii="Times New Roman" w:eastAsia="MS Mincho" w:hAnsi="Times New Roman" w:cs="Times New Roman"/>
          <w:b/>
          <w:bCs/>
          <w:kern w:val="0"/>
          <w:sz w:val="20"/>
          <w:szCs w:val="20"/>
          <w:lang w:val="fr-FR" w:bidi="ar-SA"/>
          <w14:ligatures w14:val="none"/>
        </w:rPr>
        <w:t>Événement de Perturbation</w:t>
      </w:r>
      <w:r w:rsidRPr="00CA74B8">
        <w:rPr>
          <w:rFonts w:ascii="Times New Roman" w:eastAsia="MS Mincho" w:hAnsi="Times New Roman" w:cs="Times New Roman"/>
          <w:kern w:val="0"/>
          <w:sz w:val="20"/>
          <w:szCs w:val="20"/>
          <w:lang w:val="fr-FR" w:bidi="ar-SA"/>
          <w14:ligatures w14:val="none"/>
        </w:rPr>
        <w:t>"), l'Émetteur peut suspendre les droits ou les calendriers de (i) faire des demandes de remboursement, (ii) effectuer le règlement de tout remboursement ou (iii) toute date de remboursement, règlement ou paiement y afférent.</w:t>
      </w:r>
    </w:p>
    <w:p w14:paraId="135DBDFB" w14:textId="1245382C" w:rsidR="008C1A14" w:rsidRPr="00CA74B8" w:rsidRDefault="0076552A" w:rsidP="008C1A1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 xml:space="preserve">Où les titres </w:t>
      </w:r>
      <w:proofErr w:type="spellStart"/>
      <w:r w:rsidRPr="00CA74B8">
        <w:rPr>
          <w:rFonts w:ascii="Times New Roman" w:eastAsia="Times New Roman" w:hAnsi="Times New Roman" w:cs="Times New Roman"/>
          <w:b/>
          <w:bCs/>
          <w:color w:val="000000"/>
          <w:kern w:val="0"/>
          <w:sz w:val="20"/>
          <w:szCs w:val="20"/>
          <w:lang w:val="fr-FR" w:bidi="ar-SA"/>
          <w14:ligatures w14:val="none"/>
        </w:rPr>
        <w:t>seront-ils</w:t>
      </w:r>
      <w:proofErr w:type="spellEnd"/>
      <w:r w:rsidRPr="00CA74B8">
        <w:rPr>
          <w:rFonts w:ascii="Times New Roman" w:eastAsia="Times New Roman" w:hAnsi="Times New Roman" w:cs="Times New Roman"/>
          <w:b/>
          <w:bCs/>
          <w:color w:val="000000"/>
          <w:kern w:val="0"/>
          <w:sz w:val="20"/>
          <w:szCs w:val="20"/>
          <w:lang w:val="fr-FR" w:bidi="ar-SA"/>
          <w14:ligatures w14:val="none"/>
        </w:rPr>
        <w:t xml:space="preserve"> négociés ?</w:t>
      </w:r>
    </w:p>
    <w:p w14:paraId="294C1342" w14:textId="3761C1E8" w:rsidR="0076552A" w:rsidRPr="00CA74B8" w:rsidRDefault="0076552A" w:rsidP="002D5055">
      <w:pPr>
        <w:keepNext/>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L’Émetteur peut décider de demander l’admission des Obligations sur d’autres marchés réglementés et/ou de demander l’admission des Obligations sur des systèmes multilatéraux de négociation, des systèmes de trading organisés ou par l’intermédiaire d’</w:t>
      </w:r>
      <w:proofErr w:type="spellStart"/>
      <w:r w:rsidRPr="00CA74B8">
        <w:rPr>
          <w:rFonts w:ascii="Times New Roman" w:eastAsia="MS Mincho" w:hAnsi="Times New Roman" w:cs="Times New Roman"/>
          <w:kern w:val="0"/>
          <w:sz w:val="20"/>
          <w:szCs w:val="20"/>
          <w:lang w:val="fr-FR" w:bidi="ar-SA"/>
          <w14:ligatures w14:val="none"/>
        </w:rPr>
        <w:t>internalisateurs</w:t>
      </w:r>
      <w:proofErr w:type="spellEnd"/>
      <w:r w:rsidRPr="00CA74B8">
        <w:rPr>
          <w:rFonts w:ascii="Times New Roman" w:eastAsia="MS Mincho" w:hAnsi="Times New Roman" w:cs="Times New Roman"/>
          <w:kern w:val="0"/>
          <w:sz w:val="20"/>
          <w:szCs w:val="20"/>
          <w:lang w:val="fr-FR" w:bidi="ar-SA"/>
          <w14:ligatures w14:val="none"/>
        </w:rPr>
        <w:t xml:space="preserve"> systématiques, conformément à la Directive 2014/65/UE du Parlement européen et du Conseil du 15 mai 2014 concernant les marchés d’instruments financiers.</w:t>
      </w:r>
    </w:p>
    <w:p w14:paraId="0E4E0068" w14:textId="0761E260" w:rsidR="008C1A14" w:rsidRPr="00CA74B8" w:rsidRDefault="008C1A14" w:rsidP="0076552A">
      <w:pPr>
        <w:keepNext/>
        <w:spacing w:after="60" w:line="240" w:lineRule="auto"/>
        <w:jc w:val="both"/>
        <w:rPr>
          <w:rFonts w:ascii="Times New Roman" w:eastAsia="MS Mincho" w:hAnsi="Times New Roman" w:cs="Times New Roman"/>
          <w:kern w:val="0"/>
          <w:sz w:val="20"/>
          <w:szCs w:val="20"/>
          <w:lang w:val="fr-FR" w:bidi="ar-SA"/>
          <w14:ligatures w14:val="none"/>
        </w:rPr>
      </w:pPr>
    </w:p>
    <w:p w14:paraId="61724E6D" w14:textId="13186316" w:rsidR="008C1A14" w:rsidRPr="00CA74B8" w:rsidRDefault="0076552A" w:rsidP="008C1A14">
      <w:pPr>
        <w:numPr>
          <w:ilvl w:val="2"/>
          <w:numId w:val="1"/>
        </w:numPr>
        <w:tabs>
          <w:tab w:val="num" w:pos="720"/>
        </w:tabs>
        <w:spacing w:after="18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Quels sont les principaux risques spécifiques aux titres ?</w:t>
      </w:r>
    </w:p>
    <w:p w14:paraId="63299C89" w14:textId="3EC8E15C" w:rsidR="0076552A" w:rsidRPr="00CA74B8" w:rsidRDefault="0076552A" w:rsidP="002D5055">
      <w:pPr>
        <w:spacing w:after="60" w:line="240" w:lineRule="auto"/>
        <w:rPr>
          <w:rFonts w:ascii="Times New Roman" w:eastAsia="MS Mincho" w:hAnsi="Times New Roman" w:cs="Times New Roman"/>
          <w:i/>
          <w:kern w:val="0"/>
          <w:sz w:val="20"/>
          <w:szCs w:val="20"/>
          <w:lang w:val="fr-FR" w:bidi="ar-SA"/>
          <w14:ligatures w14:val="none"/>
        </w:rPr>
      </w:pPr>
      <w:r w:rsidRPr="00CA74B8">
        <w:rPr>
          <w:rFonts w:ascii="Times New Roman" w:eastAsia="MS Mincho" w:hAnsi="Times New Roman" w:cs="Times New Roman"/>
          <w:i/>
          <w:kern w:val="0"/>
          <w:sz w:val="20"/>
          <w:szCs w:val="20"/>
          <w:lang w:val="fr-FR" w:bidi="ar-SA"/>
          <w14:ligatures w14:val="none"/>
        </w:rPr>
        <w:t xml:space="preserve">Les principaux risques suivants pourraient entraîner des pertes substantielles pour les Obligataires. Chaque </w:t>
      </w:r>
    </w:p>
    <w:p w14:paraId="4E671267" w14:textId="77777777" w:rsidR="0076552A" w:rsidRPr="00CA74B8" w:rsidRDefault="0076552A" w:rsidP="002D5055">
      <w:pPr>
        <w:spacing w:after="60" w:line="240" w:lineRule="auto"/>
        <w:rPr>
          <w:rFonts w:ascii="Times New Roman" w:eastAsia="MS Mincho" w:hAnsi="Times New Roman" w:cs="Times New Roman"/>
          <w:i/>
          <w:kern w:val="0"/>
          <w:sz w:val="20"/>
          <w:szCs w:val="20"/>
          <w:lang w:val="fr-FR" w:bidi="ar-SA"/>
          <w14:ligatures w14:val="none"/>
        </w:rPr>
      </w:pPr>
      <w:r w:rsidRPr="00CA74B8">
        <w:rPr>
          <w:rFonts w:ascii="Times New Roman" w:eastAsia="MS Mincho" w:hAnsi="Times New Roman" w:cs="Times New Roman"/>
          <w:i/>
          <w:kern w:val="0"/>
          <w:sz w:val="20"/>
          <w:szCs w:val="20"/>
          <w:lang w:val="fr-FR" w:bidi="ar-SA"/>
          <w14:ligatures w14:val="none"/>
        </w:rPr>
        <w:t xml:space="preserve">Obligataire pourrait avoir à supporter des pertes éventuelles en cas de vente de ses Obligations ou en ce qui </w:t>
      </w:r>
    </w:p>
    <w:p w14:paraId="793791B9" w14:textId="6339E311" w:rsidR="008C1A14" w:rsidRPr="00CA74B8" w:rsidRDefault="0076552A" w:rsidP="002D5055">
      <w:pPr>
        <w:spacing w:after="60" w:line="240" w:lineRule="auto"/>
        <w:rPr>
          <w:rFonts w:ascii="Times New Roman" w:eastAsia="MS Mincho" w:hAnsi="Times New Roman" w:cs="Times New Roman"/>
          <w:i/>
          <w:kern w:val="0"/>
          <w:sz w:val="20"/>
          <w:szCs w:val="20"/>
          <w:lang w:val="fr-FR" w:bidi="ar-SA"/>
          <w14:ligatures w14:val="none"/>
        </w:rPr>
      </w:pPr>
      <w:proofErr w:type="gramStart"/>
      <w:r w:rsidRPr="00CA74B8">
        <w:rPr>
          <w:rFonts w:ascii="Times New Roman" w:eastAsia="MS Mincho" w:hAnsi="Times New Roman" w:cs="Times New Roman"/>
          <w:i/>
          <w:kern w:val="0"/>
          <w:sz w:val="20"/>
          <w:szCs w:val="20"/>
          <w:lang w:val="fr-FR" w:bidi="ar-SA"/>
          <w14:ligatures w14:val="none"/>
        </w:rPr>
        <w:t>concerne</w:t>
      </w:r>
      <w:proofErr w:type="gramEnd"/>
      <w:r w:rsidRPr="00CA74B8">
        <w:rPr>
          <w:rFonts w:ascii="Times New Roman" w:eastAsia="MS Mincho" w:hAnsi="Times New Roman" w:cs="Times New Roman"/>
          <w:i/>
          <w:kern w:val="0"/>
          <w:sz w:val="20"/>
          <w:szCs w:val="20"/>
          <w:lang w:val="fr-FR" w:bidi="ar-SA"/>
          <w14:ligatures w14:val="none"/>
        </w:rPr>
        <w:t xml:space="preserve"> le remboursement :</w:t>
      </w:r>
    </w:p>
    <w:p w14:paraId="63DE5626" w14:textId="3C14BD55" w:rsidR="008C1A14" w:rsidRPr="00CA74B8" w:rsidRDefault="0076552A" w:rsidP="008C1A14">
      <w:pPr>
        <w:spacing w:after="60" w:line="240" w:lineRule="auto"/>
        <w:jc w:val="both"/>
        <w:rPr>
          <w:rFonts w:ascii="Times New Roman" w:eastAsia="MS Mincho" w:hAnsi="Times New Roman" w:cs="Times New Roman"/>
          <w:b/>
          <w:kern w:val="0"/>
          <w:sz w:val="20"/>
          <w:szCs w:val="20"/>
          <w:lang w:val="fr-FR" w:bidi="ar-SA"/>
          <w14:ligatures w14:val="none"/>
        </w:rPr>
      </w:pPr>
      <w:r w:rsidRPr="00CA74B8">
        <w:rPr>
          <w:rFonts w:ascii="Times New Roman" w:eastAsia="MS Mincho" w:hAnsi="Times New Roman" w:cs="Times New Roman"/>
          <w:b/>
          <w:kern w:val="0"/>
          <w:sz w:val="20"/>
          <w:szCs w:val="20"/>
          <w:lang w:val="fr-FR" w:bidi="ar-SA"/>
          <w14:ligatures w14:val="none"/>
        </w:rPr>
        <w:t>Risques liés à la nature et aux Modalités des Obligations</w:t>
      </w:r>
    </w:p>
    <w:p w14:paraId="2CC58EE0" w14:textId="508FFA9E" w:rsidR="00F907D6" w:rsidRPr="00CA74B8" w:rsidRDefault="00F907D6" w:rsidP="002D5055">
      <w:pPr>
        <w:spacing w:after="60" w:line="240" w:lineRule="auto"/>
        <w:jc w:val="both"/>
        <w:rPr>
          <w:rFonts w:ascii="Times New Roman" w:eastAsia="MS Mincho" w:hAnsi="Times New Roman" w:cs="Times New Roman"/>
          <w:bCs/>
          <w:iCs/>
          <w:kern w:val="0"/>
          <w:sz w:val="20"/>
          <w:szCs w:val="20"/>
          <w:lang w:val="fr-FR" w:bidi="ar-SA"/>
          <w14:ligatures w14:val="none"/>
        </w:rPr>
      </w:pPr>
      <w:r w:rsidRPr="00CA74B8">
        <w:rPr>
          <w:rFonts w:ascii="Times New Roman" w:eastAsia="MS Mincho" w:hAnsi="Times New Roman" w:cs="Times New Roman"/>
          <w:b/>
          <w:i/>
          <w:kern w:val="0"/>
          <w:sz w:val="20"/>
          <w:szCs w:val="20"/>
          <w:lang w:val="fr-FR" w:bidi="ar-SA"/>
          <w14:ligatures w14:val="none"/>
        </w:rPr>
        <w:t xml:space="preserve">Risque de perte lié au </w:t>
      </w:r>
      <w:proofErr w:type="spellStart"/>
      <w:r w:rsidRPr="00CA74B8">
        <w:rPr>
          <w:rFonts w:ascii="Times New Roman" w:eastAsia="MS Mincho" w:hAnsi="Times New Roman" w:cs="Times New Roman"/>
          <w:b/>
          <w:i/>
          <w:kern w:val="0"/>
          <w:sz w:val="20"/>
          <w:szCs w:val="20"/>
          <w:lang w:val="fr-FR" w:bidi="ar-SA"/>
          <w14:ligatures w14:val="none"/>
        </w:rPr>
        <w:t>Staking</w:t>
      </w:r>
      <w:proofErr w:type="spellEnd"/>
      <w:r w:rsidRPr="00CA74B8">
        <w:rPr>
          <w:rFonts w:ascii="Times New Roman" w:eastAsia="MS Mincho" w:hAnsi="Times New Roman" w:cs="Times New Roman"/>
          <w:b/>
          <w:i/>
          <w:kern w:val="0"/>
          <w:sz w:val="20"/>
          <w:szCs w:val="20"/>
          <w:lang w:val="fr-FR" w:bidi="ar-SA"/>
          <w14:ligatures w14:val="none"/>
        </w:rPr>
        <w:t xml:space="preserve"> :</w:t>
      </w:r>
      <w:r w:rsidRPr="00CA74B8">
        <w:rPr>
          <w:rFonts w:ascii="Times New Roman" w:eastAsia="MS Mincho" w:hAnsi="Times New Roman" w:cs="Times New Roman"/>
          <w:bCs/>
          <w:iCs/>
          <w:kern w:val="0"/>
          <w:sz w:val="20"/>
          <w:szCs w:val="20"/>
          <w:lang w:val="fr-FR" w:bidi="ar-SA"/>
          <w14:ligatures w14:val="none"/>
        </w:rPr>
        <w:t xml:space="preserve"> Certains protocoles de preuve d'enjeu imposent des pénalités aux validateurs qui valident négligemment ou malicieusement des transactions sur les protocoles (les "</w:t>
      </w:r>
      <w:r w:rsidRPr="00CA74B8">
        <w:rPr>
          <w:rFonts w:ascii="Times New Roman" w:eastAsia="MS Mincho" w:hAnsi="Times New Roman" w:cs="Times New Roman"/>
          <w:b/>
          <w:iCs/>
          <w:kern w:val="0"/>
          <w:sz w:val="20"/>
          <w:szCs w:val="20"/>
          <w:lang w:val="fr-FR" w:bidi="ar-SA"/>
          <w14:ligatures w14:val="none"/>
        </w:rPr>
        <w:t xml:space="preserve">Pénalités de </w:t>
      </w:r>
      <w:proofErr w:type="spellStart"/>
      <w:r w:rsidRPr="00CA74B8">
        <w:rPr>
          <w:rFonts w:ascii="Times New Roman" w:eastAsia="MS Mincho" w:hAnsi="Times New Roman" w:cs="Times New Roman"/>
          <w:b/>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Ces Pénalités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peuvent également être imposées en raison d'erreurs involontaires, de problèmes technologiques, de piratage et d'autres activités malveillantes. Les Pénalités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peuvent comprendre la perte de récompenses ainsi qu'une perte des unités de la Crypto-monnaie sous-jacente soumises au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Si de telles Pénalités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sont appliquées aux Cryptomonnaies qui sont appliquées au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par l'Émetteur et que l'Émetteur n'est pas en mesure de compenser ou d'atténuer complètement les effets de ces événements sur le Montant des Obligations Garanties en raison de l'incapacité du Fournisseur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ou du Dépositaire à remplir leurs obligations vis-à-vis de l'Émetteur, l'Émetteur a le droit d'ajuster le Droit d'Attribution de Crypto-monnaie. </w:t>
      </w:r>
      <w:r w:rsidRPr="00CA74B8">
        <w:rPr>
          <w:rFonts w:ascii="Times New Roman" w:eastAsia="MS Mincho" w:hAnsi="Times New Roman" w:cs="Times New Roman"/>
          <w:bCs/>
          <w:iCs/>
          <w:kern w:val="0"/>
          <w:sz w:val="20"/>
          <w:szCs w:val="20"/>
          <w:lang w:val="fr-FR" w:bidi="ar-SA"/>
          <w14:ligatures w14:val="none"/>
        </w:rPr>
        <w:lastRenderedPageBreak/>
        <w:t>Cela entraînera effectivement une réduction du Droit d'Attribution de Crypto-monnaie, pouvant aller jusqu'à zéro, de sorte que les investisseurs dans ces Obligations peuvent subir une perte totale de leur investissement.</w:t>
      </w:r>
    </w:p>
    <w:p w14:paraId="0C2A6AC7" w14:textId="3206F91F" w:rsidR="00F907D6" w:rsidRPr="00CA74B8" w:rsidRDefault="00F907D6" w:rsidP="002D5055">
      <w:pPr>
        <w:spacing w:after="60" w:line="240" w:lineRule="auto"/>
        <w:jc w:val="both"/>
        <w:rPr>
          <w:rFonts w:ascii="Times New Roman" w:eastAsia="MS Mincho" w:hAnsi="Times New Roman" w:cs="Times New Roman"/>
          <w:bCs/>
          <w:iCs/>
          <w:kern w:val="0"/>
          <w:sz w:val="20"/>
          <w:szCs w:val="20"/>
          <w:lang w:val="fr-FR" w:bidi="ar-SA"/>
          <w14:ligatures w14:val="none"/>
        </w:rPr>
      </w:pPr>
      <w:r w:rsidRPr="00CA74B8">
        <w:rPr>
          <w:rFonts w:ascii="Times New Roman" w:eastAsia="MS Mincho" w:hAnsi="Times New Roman" w:cs="Times New Roman"/>
          <w:b/>
          <w:i/>
          <w:kern w:val="0"/>
          <w:sz w:val="20"/>
          <w:szCs w:val="20"/>
          <w:lang w:val="fr-FR" w:bidi="ar-SA"/>
          <w14:ligatures w14:val="none"/>
        </w:rPr>
        <w:t xml:space="preserve">Risque lié au retard de dépôt des Récompenses de </w:t>
      </w:r>
      <w:proofErr w:type="spellStart"/>
      <w:r w:rsidRPr="00CA74B8">
        <w:rPr>
          <w:rFonts w:ascii="Times New Roman" w:eastAsia="MS Mincho" w:hAnsi="Times New Roman" w:cs="Times New Roman"/>
          <w:b/>
          <w:i/>
          <w:kern w:val="0"/>
          <w:sz w:val="20"/>
          <w:szCs w:val="20"/>
          <w:lang w:val="fr-FR" w:bidi="ar-SA"/>
          <w14:ligatures w14:val="none"/>
        </w:rPr>
        <w:t>Staking</w:t>
      </w:r>
      <w:proofErr w:type="spellEnd"/>
      <w:r w:rsidRPr="00CA74B8">
        <w:rPr>
          <w:rFonts w:ascii="Times New Roman" w:eastAsia="MS Mincho" w:hAnsi="Times New Roman" w:cs="Times New Roman"/>
          <w:b/>
          <w:i/>
          <w:kern w:val="0"/>
          <w:sz w:val="20"/>
          <w:szCs w:val="20"/>
          <w:lang w:val="fr-FR" w:bidi="ar-SA"/>
          <w14:ligatures w14:val="none"/>
        </w:rPr>
        <w:t xml:space="preserve"> : </w:t>
      </w:r>
      <w:r w:rsidRPr="00CA74B8">
        <w:rPr>
          <w:rFonts w:ascii="Times New Roman" w:eastAsia="MS Mincho" w:hAnsi="Times New Roman" w:cs="Times New Roman"/>
          <w:bCs/>
          <w:iCs/>
          <w:kern w:val="0"/>
          <w:sz w:val="20"/>
          <w:szCs w:val="20"/>
          <w:lang w:val="fr-FR" w:bidi="ar-SA"/>
          <w14:ligatures w14:val="none"/>
        </w:rPr>
        <w:t xml:space="preserve">Bien que les unités de Crypto-monnaie reçues par l'Émetteur en lien avec la souscription des Obligations soient transférées directement au Portefeuille du Dépositaire et soient sécurisées par un accord de garantie au profit des Obligataires, les récompenses reçues pour le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w:t>
      </w:r>
      <w:r w:rsidRPr="00CA74B8">
        <w:rPr>
          <w:rFonts w:ascii="Times New Roman" w:eastAsia="MS Mincho" w:hAnsi="Times New Roman" w:cs="Times New Roman"/>
          <w:b/>
          <w:i/>
          <w:kern w:val="0"/>
          <w:sz w:val="20"/>
          <w:szCs w:val="20"/>
          <w:lang w:val="fr-FR" w:bidi="ar-SA"/>
          <w14:ligatures w14:val="none"/>
        </w:rPr>
        <w:t xml:space="preserve">Récompenses de </w:t>
      </w:r>
      <w:proofErr w:type="spellStart"/>
      <w:r w:rsidRPr="00CA74B8">
        <w:rPr>
          <w:rFonts w:ascii="Times New Roman" w:eastAsia="MS Mincho" w:hAnsi="Times New Roman" w:cs="Times New Roman"/>
          <w:b/>
          <w:i/>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ne seront pas versées et transférées immédiatement au Portefeuille du Dépositaire, mais tout paiement et transfert de ces Récompenses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sont soumis aux règles du protocole sous-jacent respectif. Le paiement et le transfert des unités de la Crypto-monnaie respective gagnées en tant que Récompenses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et le dépôt de ces Récompenses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dans le Portefeuille du Dépositaire peuvent donc nécessiter un certain temps pendant lequel les Récompenses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ne font pas partie de la Crypto-monnaie Déposée. Par conséquent, les Obligataires peuvent ne pas être suffisamment protégés en cas de faillite ou de liquidation du Fournisseur de </w:t>
      </w:r>
      <w:proofErr w:type="spellStart"/>
      <w:r w:rsidRPr="00CA74B8">
        <w:rPr>
          <w:rFonts w:ascii="Times New Roman" w:eastAsia="MS Mincho" w:hAnsi="Times New Roman" w:cs="Times New Roman"/>
          <w:bCs/>
          <w:iCs/>
          <w:kern w:val="0"/>
          <w:sz w:val="20"/>
          <w:szCs w:val="20"/>
          <w:lang w:val="fr-FR" w:bidi="ar-SA"/>
          <w14:ligatures w14:val="none"/>
        </w:rPr>
        <w:t>Staking</w:t>
      </w:r>
      <w:proofErr w:type="spellEnd"/>
      <w:r w:rsidRPr="00CA74B8">
        <w:rPr>
          <w:rFonts w:ascii="Times New Roman" w:eastAsia="MS Mincho" w:hAnsi="Times New Roman" w:cs="Times New Roman"/>
          <w:bCs/>
          <w:iCs/>
          <w:kern w:val="0"/>
          <w:sz w:val="20"/>
          <w:szCs w:val="20"/>
          <w:lang w:val="fr-FR" w:bidi="ar-SA"/>
          <w14:ligatures w14:val="none"/>
        </w:rPr>
        <w:t xml:space="preserve"> pour diverses raisons pendant cette période.</w:t>
      </w:r>
    </w:p>
    <w:p w14:paraId="796663C6" w14:textId="37009CD5" w:rsidR="00F907D6" w:rsidRPr="00CA74B8" w:rsidRDefault="00F907D6" w:rsidP="002D5055">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Les Obligataires sont exposés au risque de pertes si un remboursement en espèces échoue en raison de l'absence d'ordres d'achat ou de l'indisponibilité du prix de référence requis :</w:t>
      </w:r>
      <w:r w:rsidRPr="00CA74B8">
        <w:rPr>
          <w:rFonts w:ascii="Times New Roman" w:eastAsia="MS Mincho" w:hAnsi="Times New Roman" w:cs="Times New Roman"/>
          <w:kern w:val="0"/>
          <w:sz w:val="20"/>
          <w:szCs w:val="20"/>
          <w:lang w:val="fr-FR" w:bidi="ar-SA"/>
          <w14:ligatures w14:val="none"/>
        </w:rPr>
        <w:t xml:space="preserve"> En cas de remboursements en espèces, l'Émetteur doit organiser une Procédure d'Exécution de la Crypto-monnaie afin de rembourser les Obligations. Si une telle Procédure d'Exécution de la Crypto-monnaie échoue pour quelque raison que ce soit, y compris, sans limitation, en raison d'une perturbation de la disponibilité du prix de référence de la Crypto-monnaie sous-jacente, les Obligataires courent le risque que les Obligations ne puissent pas être remboursées en espèces par l'Émetteur et ne puissent être vendues que sur le marché secondaire.</w:t>
      </w:r>
    </w:p>
    <w:p w14:paraId="26C17D12" w14:textId="68A19A5A" w:rsidR="00F907D6" w:rsidRPr="00CA74B8" w:rsidRDefault="00F907D6" w:rsidP="002D5055">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Risques liés aux Remboursements Volontaires :</w:t>
      </w:r>
      <w:r w:rsidRPr="00CA74B8">
        <w:rPr>
          <w:rFonts w:ascii="Times New Roman" w:eastAsia="MS Mincho" w:hAnsi="Times New Roman" w:cs="Times New Roman"/>
          <w:kern w:val="0"/>
          <w:sz w:val="20"/>
          <w:szCs w:val="20"/>
          <w:lang w:val="fr-FR" w:bidi="ar-SA"/>
          <w14:ligatures w14:val="none"/>
        </w:rPr>
        <w:t xml:space="preserve"> Les investisseurs dans les Obligations ont le droit de demander un Remboursement Volontaire et de rembourser les Obligations auprès de l'Émetteur contre paiement du Droit d'Attribution de Crypto-monnaie. Cependant, les investisseurs pourraient ne pas être en mesure de faire usage de ce droit, s'ils ne fournissent pas suffisamment d'informations à l'Émetteur conformément aux Modalités. De plus, si les Obligataires exercent leur droit de Remboursement Volontaire et demandent un règlement en espèces, les obligations de l'Émetteur de remettre des USD à un tel Obligataire après la remise des Obligations concernées à l'Émetteur constituent des obligations non garanties de l'Émetteur. Seules les obligations de règlement liées au Remboursement Volontaire avec règlement physique (les "</w:t>
      </w:r>
      <w:r w:rsidRPr="00CA74B8">
        <w:rPr>
          <w:rFonts w:ascii="Times New Roman" w:eastAsia="MS Mincho" w:hAnsi="Times New Roman" w:cs="Times New Roman"/>
          <w:b/>
          <w:bCs/>
          <w:kern w:val="0"/>
          <w:sz w:val="20"/>
          <w:szCs w:val="20"/>
          <w:lang w:val="fr-FR" w:bidi="ar-SA"/>
          <w14:ligatures w14:val="none"/>
        </w:rPr>
        <w:t>Obligations de Remboursement Garanties</w:t>
      </w:r>
      <w:r w:rsidRPr="00CA74B8">
        <w:rPr>
          <w:rFonts w:ascii="Times New Roman" w:eastAsia="MS Mincho" w:hAnsi="Times New Roman" w:cs="Times New Roman"/>
          <w:kern w:val="0"/>
          <w:sz w:val="20"/>
          <w:szCs w:val="20"/>
          <w:lang w:val="fr-FR" w:bidi="ar-SA"/>
          <w14:ligatures w14:val="none"/>
        </w:rPr>
        <w:t>") constituent des obligations garanties de l'Émetteur. Les réclamations d'un Obligataire pour les paiements en espèces dus au Remboursement Volontaire avec règlement en espèces ne seront réglées qu'après que l'Obligataire concerné ait livré les Obligations à l'Émetteur et, pendant la période allant de la livraison des Obligations jusqu'au paiement effectif en USD, l'Obligataire concerné ne sera plus propriétaire de l'Obligation, ni n'aura de créance garantie contre l'Émetteur.</w:t>
      </w:r>
    </w:p>
    <w:p w14:paraId="392434C5" w14:textId="0AAF2C34" w:rsidR="00F907D6" w:rsidRPr="00CA74B8" w:rsidRDefault="00F907D6" w:rsidP="002D5055">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Remboursement obligatoire :</w:t>
      </w:r>
      <w:r w:rsidRPr="00CA74B8">
        <w:rPr>
          <w:rFonts w:ascii="Times New Roman" w:eastAsia="MS Mincho" w:hAnsi="Times New Roman" w:cs="Times New Roman"/>
          <w:kern w:val="0"/>
          <w:sz w:val="20"/>
          <w:szCs w:val="20"/>
          <w:lang w:val="fr-FR" w:bidi="ar-SA"/>
          <w14:ligatures w14:val="none"/>
        </w:rPr>
        <w:t xml:space="preserve"> En cas de survenance de certains événements tels que spécifiés dans les Modalités, l'Émetteur peut (sans toutefois y être tenu) à tout moment, à sa seule discrétion, choisir de rembourser la totalité des Obligations, et non une partie seulement, à leur prix de remboursement obligatoire, ce qui correspond à (i) un montant égal au Droit d'Attribution de Crypto-monnaie ; ou (ii) si un Obligataire opte pour un remboursement en espèces, le produit de la Procédure d'Exécution de la Crypto-monnaie relatif à la quantité de Crypto-monnaie équivalant au Droit d'Attribution de Crypto-monnaie à la date de remboursement obligatoire correspondante, diminué de toute commission de tiers raisonnable liée au remboursement des Obligations, (le "</w:t>
      </w:r>
      <w:r w:rsidRPr="00CA74B8">
        <w:rPr>
          <w:rFonts w:ascii="Times New Roman" w:eastAsia="MS Mincho" w:hAnsi="Times New Roman" w:cs="Times New Roman"/>
          <w:b/>
          <w:bCs/>
          <w:kern w:val="0"/>
          <w:sz w:val="20"/>
          <w:szCs w:val="20"/>
          <w:lang w:val="fr-FR" w:bidi="ar-SA"/>
          <w14:ligatures w14:val="none"/>
        </w:rPr>
        <w:t>Prix de Rachat Obligatoire</w:t>
      </w:r>
      <w:r w:rsidRPr="00CA74B8">
        <w:rPr>
          <w:rFonts w:ascii="Times New Roman" w:eastAsia="MS Mincho" w:hAnsi="Times New Roman" w:cs="Times New Roman"/>
          <w:kern w:val="0"/>
          <w:sz w:val="20"/>
          <w:szCs w:val="20"/>
          <w:lang w:val="fr-FR" w:bidi="ar-SA"/>
          <w14:ligatures w14:val="none"/>
        </w:rPr>
        <w:t>"). Dans l'exercice de son pouvoir discrétionnaire, l'Émetteur n'est pas tenu de prendre en compte les intérêts des Obligataires, et les Obligataires peuvent recevoir moins, ou substantiellement moins, que leur investissement initial. Le Prix de Rachat Obligatoire des Obligations remboursées en espèces peut être inférieur ou substantiellement inférieur au prix équivalent de la Crypto-monnaie, car l'Émetteur tentera de vendre la Crypto-monnaie en utilisant la Procédure d'Exécution de la Crypto-monnaie, et tous les risques liés à la vente de la Crypto-monnaie tels que décrits ci-dessus s'appliquent. De plus, le remboursement obligatoire pourrait entraîner la cession effective des Obligations par certains ou tous les Obligataires à une date antérieure à celle prévue ou anticipée, ce qui peut entraîner un traitement fiscal moins avantageux de l'investissement dans les Obligations pour ces Obligataires que celui qui serait autrement appliqué si l'investisseur avait pu maintenir son investissement pendant une période plus longue.</w:t>
      </w:r>
    </w:p>
    <w:p w14:paraId="4595922F" w14:textId="4452E4FC" w:rsidR="00AB6E56" w:rsidRPr="00CA74B8" w:rsidRDefault="00AB6E56" w:rsidP="008C1A14">
      <w:pPr>
        <w:tabs>
          <w:tab w:val="left" w:pos="720"/>
        </w:tabs>
        <w:spacing w:after="180" w:line="240" w:lineRule="auto"/>
        <w:jc w:val="both"/>
        <w:outlineLvl w:val="3"/>
        <w:rPr>
          <w:rFonts w:ascii="Times New Roman" w:eastAsia="Times New Roman" w:hAnsi="Times New Roman" w:cs="Times New Roman"/>
          <w:bCs/>
          <w:iCs/>
          <w:color w:val="000000"/>
          <w:kern w:val="0"/>
          <w:sz w:val="20"/>
          <w:szCs w:val="20"/>
          <w:lang w:val="fr-FR" w:bidi="ar-SA"/>
          <w14:ligatures w14:val="none"/>
        </w:rPr>
      </w:pPr>
      <w:r w:rsidRPr="00CA74B8">
        <w:rPr>
          <w:rFonts w:ascii="Times New Roman" w:eastAsia="Times New Roman" w:hAnsi="Times New Roman" w:cs="Times New Roman"/>
          <w:b/>
          <w:i/>
          <w:color w:val="000000"/>
          <w:kern w:val="0"/>
          <w:sz w:val="20"/>
          <w:szCs w:val="20"/>
          <w:lang w:val="fr-FR" w:bidi="ar-SA"/>
          <w14:ligatures w14:val="none"/>
        </w:rPr>
        <w:t>Risques liés aux Événements d'Ajustement :</w:t>
      </w:r>
      <w:r w:rsidRPr="00CA74B8">
        <w:rPr>
          <w:rFonts w:ascii="Times New Roman" w:eastAsia="Times New Roman" w:hAnsi="Times New Roman" w:cs="Times New Roman"/>
          <w:bCs/>
          <w:iCs/>
          <w:color w:val="000000"/>
          <w:kern w:val="0"/>
          <w:sz w:val="20"/>
          <w:szCs w:val="20"/>
          <w:lang w:val="fr-FR" w:bidi="ar-SA"/>
          <w14:ligatures w14:val="none"/>
        </w:rPr>
        <w:t xml:space="preserve"> Lors de la survenance de certains événements concernant la Crypto-monnaie sous-jacente affectant la Crypto-monnaie sous-jacente et/ou le Droit d'Attribution de Crypto-monnaie, nécessitant des ajustements à la Crypto-monnaie sous-jacente et/ou au Droit d'Attribution de Crypto-monnaie (chaque événement, un "</w:t>
      </w:r>
      <w:r w:rsidRPr="00CA74B8">
        <w:rPr>
          <w:rFonts w:ascii="Times New Roman" w:eastAsia="Times New Roman" w:hAnsi="Times New Roman" w:cs="Times New Roman"/>
          <w:b/>
          <w:iCs/>
          <w:color w:val="000000"/>
          <w:kern w:val="0"/>
          <w:sz w:val="20"/>
          <w:szCs w:val="20"/>
          <w:lang w:val="fr-FR" w:bidi="ar-SA"/>
          <w14:ligatures w14:val="none"/>
        </w:rPr>
        <w:t>Événement d'Ajustement</w:t>
      </w:r>
      <w:r w:rsidRPr="00CA74B8">
        <w:rPr>
          <w:rFonts w:ascii="Times New Roman" w:eastAsia="Times New Roman" w:hAnsi="Times New Roman" w:cs="Times New Roman"/>
          <w:bCs/>
          <w:iCs/>
          <w:color w:val="000000"/>
          <w:kern w:val="0"/>
          <w:sz w:val="20"/>
          <w:szCs w:val="20"/>
          <w:lang w:val="fr-FR" w:bidi="ar-SA"/>
          <w14:ligatures w14:val="none"/>
        </w:rPr>
        <w:t>"), l'Émetteur peut, s'il le juge approprié, (i) procéder à un ajustement du Droit d'Attribution de Crypto-monnaie pour prendre en compte l'effet économique de tels événements sur les Obligations, (ii) suspendre les rééquilibrages programmés de l'Indice, ou (iii) remplacer l'Indice sous-jacent pertinent par un nouvel Indice similaire. Selon l'action spécifique prise par l'Émetteur en réponse à un Événement d'Ajustement, la valeur des Droits d'Attribution de Crypto-monnaie et des Obligations peut évoluer différemment et le rendement pour les Obligataires peut être inférieur (ou considérablement inférieur) à ce qui aurait été le cas si l'Événement d'Ajustement ne s'était pas produit.</w:t>
      </w:r>
    </w:p>
    <w:p w14:paraId="2F3840CE" w14:textId="643EC827" w:rsidR="008C1A14" w:rsidRPr="00CA74B8" w:rsidRDefault="00AB6E56" w:rsidP="008C1A14">
      <w:pPr>
        <w:keepNext/>
        <w:spacing w:after="60" w:line="240" w:lineRule="auto"/>
        <w:jc w:val="both"/>
        <w:rPr>
          <w:rFonts w:ascii="Times New Roman" w:eastAsia="MS Mincho" w:hAnsi="Times New Roman" w:cs="Times New Roman"/>
          <w:b/>
          <w:kern w:val="0"/>
          <w:sz w:val="20"/>
          <w:szCs w:val="20"/>
          <w:lang w:val="fr-FR" w:bidi="ar-SA"/>
          <w14:ligatures w14:val="none"/>
        </w:rPr>
      </w:pPr>
      <w:r w:rsidRPr="00CA74B8">
        <w:rPr>
          <w:rFonts w:ascii="Times New Roman" w:eastAsia="MS Mincho" w:hAnsi="Times New Roman" w:cs="Times New Roman"/>
          <w:b/>
          <w:kern w:val="0"/>
          <w:sz w:val="20"/>
          <w:szCs w:val="20"/>
          <w:lang w:val="fr-FR" w:bidi="ar-SA"/>
          <w14:ligatures w14:val="none"/>
        </w:rPr>
        <w:lastRenderedPageBreak/>
        <w:t>Risques liés à la Sûreté des Obligations</w:t>
      </w:r>
    </w:p>
    <w:p w14:paraId="7EA40B7B" w14:textId="30FFD7EC" w:rsidR="00AB6E56" w:rsidRPr="00CA74B8" w:rsidRDefault="00AB6E56"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La sûreté accordée pour sécuriser les Obligations pourrait être inapplicable ou l'exécution de la sûreté pourrait être retardée :</w:t>
      </w:r>
      <w:r w:rsidRPr="00CA74B8">
        <w:rPr>
          <w:rFonts w:ascii="Times New Roman" w:eastAsia="MS Mincho" w:hAnsi="Times New Roman" w:cs="Times New Roman"/>
          <w:kern w:val="0"/>
          <w:sz w:val="20"/>
          <w:szCs w:val="20"/>
          <w:lang w:val="fr-FR" w:bidi="ar-SA"/>
          <w14:ligatures w14:val="none"/>
        </w:rPr>
        <w:t xml:space="preserve"> L'Émetteur s'est engagé (sous réserve de certaines exceptions) à avoir un montant en Crypto-monnaie égal ou supérieur au montant des Obligations Garanties toujours déposé auprès du Dépositaire, et à avoir créé une sûreté concernant les droits et les réclamations découlant du Portefeuille du Dépositaire en faveur des Obligataires. Ces dispositifs de sûreté peuvent ne pas être suffisants pour protéger les Obligataires en cas de faillite ou de liquidation de l'Émetteur ou du Dépositaire pour diverses raisons.</w:t>
      </w:r>
    </w:p>
    <w:p w14:paraId="2E011091" w14:textId="6C0C7EA3" w:rsidR="00AB6E56" w:rsidRPr="00CA74B8" w:rsidRDefault="00AB6E56" w:rsidP="00AB6E56">
      <w:pPr>
        <w:spacing w:after="60" w:line="240" w:lineRule="auto"/>
        <w:jc w:val="both"/>
        <w:rPr>
          <w:rFonts w:ascii="Times New Roman" w:eastAsia="MS Mincho" w:hAnsi="Times New Roman" w:cs="Times New Roman"/>
          <w:b/>
          <w:kern w:val="0"/>
          <w:sz w:val="20"/>
          <w:szCs w:val="20"/>
          <w:lang w:val="fr-FR" w:bidi="ar-SA"/>
          <w14:ligatures w14:val="none"/>
        </w:rPr>
      </w:pPr>
      <w:r w:rsidRPr="00CA74B8">
        <w:rPr>
          <w:rFonts w:ascii="Times New Roman" w:eastAsia="MS Mincho" w:hAnsi="Times New Roman" w:cs="Times New Roman"/>
          <w:b/>
          <w:kern w:val="0"/>
          <w:sz w:val="20"/>
          <w:szCs w:val="20"/>
          <w:lang w:val="fr-FR" w:bidi="ar-SA"/>
          <w14:ligatures w14:val="none"/>
        </w:rPr>
        <w:t>Risques liés à le ETH en tant que Crypto-monnaie sous-jacente</w:t>
      </w:r>
    </w:p>
    <w:p w14:paraId="275FABAC" w14:textId="65BB1CE0" w:rsidR="00AB6E56" w:rsidRPr="00CA74B8" w:rsidRDefault="00AB6E56"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 xml:space="preserve">La volatilité du prix de la Crypto-monnaie : </w:t>
      </w:r>
      <w:r w:rsidRPr="00CA74B8">
        <w:rPr>
          <w:rFonts w:ascii="Times New Roman" w:eastAsia="MS Mincho" w:hAnsi="Times New Roman" w:cs="Times New Roman"/>
          <w:kern w:val="0"/>
          <w:sz w:val="20"/>
          <w:szCs w:val="20"/>
          <w:lang w:val="fr-FR" w:bidi="ar-SA"/>
          <w14:ligatures w14:val="none"/>
        </w:rPr>
        <w:t xml:space="preserve">La valeur des Obligations est affectée par le prix de la Crypto-monnaie en tant que sous-jacente. Le prix de la Crypto-monnaie fluctue considérablement et peut, par exemple, être impacté par des événements politiques, économiques ou financiers mondiaux et régionaux, des événements réglementaires ou des déclarations de régulateurs, des opérations d'investissement, de couverture ou d'autres activités menées par un large éventail d'acteurs du marché, des bifurcations dans les protocoles sous-jacents, des perturbations de l'infrastructure ou des moyens par lesquels les actifs cryptographiques sont produits, distribués, stockés et négociés. Le prix de la Crypto-monnaie peut également changer en raison d'une modification de la confiance des investisseurs dans les </w:t>
      </w:r>
      <w:proofErr w:type="gramStart"/>
      <w:r w:rsidRPr="00CA74B8">
        <w:rPr>
          <w:rFonts w:ascii="Times New Roman" w:eastAsia="MS Mincho" w:hAnsi="Times New Roman" w:cs="Times New Roman"/>
          <w:kern w:val="0"/>
          <w:sz w:val="20"/>
          <w:szCs w:val="20"/>
          <w:lang w:val="fr-FR" w:bidi="ar-SA"/>
          <w14:ligatures w14:val="none"/>
        </w:rPr>
        <w:t>perspectives futures</w:t>
      </w:r>
      <w:proofErr w:type="gramEnd"/>
      <w:r w:rsidRPr="00CA74B8">
        <w:rPr>
          <w:rFonts w:ascii="Times New Roman" w:eastAsia="MS Mincho" w:hAnsi="Times New Roman" w:cs="Times New Roman"/>
          <w:kern w:val="0"/>
          <w:sz w:val="20"/>
          <w:szCs w:val="20"/>
          <w:lang w:val="fr-FR" w:bidi="ar-SA"/>
          <w14:ligatures w14:val="none"/>
        </w:rPr>
        <w:t xml:space="preserve"> de la classe d'actifs. Les caractéristiques de la Crypto-monnaie et la divergence des normes réglementaires applicables créent un potentiel d'abus de marché et pourraient entraîner une forte volatilité des prix. Les montants reçus par les Obligataires (i) lors du remboursement des Obligations en USD, dans les cas où les Obligataires sont empêchés de recevoir la Crypto-monnaie pour des raisons légales ou réglementaires ; ou (ii) lors de la vente en bourse dépendent de la performance du prix de la Crypto-monnaie et de la liquidité disponible.</w:t>
      </w:r>
    </w:p>
    <w:p w14:paraId="7984A265" w14:textId="1354B6E4" w:rsidR="002C3B37" w:rsidRPr="00CA74B8" w:rsidRDefault="002C3B37"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Risques liés à l'admission à la négociation :</w:t>
      </w:r>
      <w:r w:rsidRPr="00CA74B8">
        <w:rPr>
          <w:rFonts w:ascii="Times New Roman" w:eastAsia="MS Mincho" w:hAnsi="Times New Roman" w:cs="Times New Roman"/>
          <w:kern w:val="0"/>
          <w:sz w:val="20"/>
          <w:szCs w:val="20"/>
          <w:lang w:val="fr-FR" w:bidi="ar-SA"/>
          <w14:ligatures w14:val="none"/>
        </w:rPr>
        <w:t xml:space="preserve"> Le prix de négociation des Obligations pourrait diminuer si la solvabilité de l’Émetteur ou des parties associées se détériore ou est perçue comme se détériorant, indépendamment du fait que les Obligations sont garanties par la détention réelle de la Crypto-monnaie. Le risque est que des tiers ne soient désireux d’acheter des Obligations qu’à un prix substantiellement réduit par rapport au prix de la Crypto-monnaie, ce qui pourrait entraîner une perte de l’investissement dans les Obligations par l’Obligataire.</w:t>
      </w:r>
    </w:p>
    <w:p w14:paraId="7571B2AA" w14:textId="77777777" w:rsidR="002C3B37" w:rsidRPr="00CA74B8" w:rsidRDefault="002C3B37" w:rsidP="002C3B37">
      <w:pPr>
        <w:spacing w:after="60" w:line="240" w:lineRule="auto"/>
        <w:jc w:val="both"/>
        <w:rPr>
          <w:rFonts w:ascii="Times New Roman" w:eastAsia="MS Mincho" w:hAnsi="Times New Roman" w:cs="Times New Roman"/>
          <w:b/>
          <w:kern w:val="0"/>
          <w:sz w:val="20"/>
          <w:szCs w:val="20"/>
          <w:lang w:val="fr-FR" w:bidi="ar-SA"/>
          <w14:ligatures w14:val="none"/>
        </w:rPr>
      </w:pPr>
      <w:r w:rsidRPr="00CA74B8">
        <w:rPr>
          <w:rFonts w:ascii="Times New Roman" w:eastAsia="MS Mincho" w:hAnsi="Times New Roman" w:cs="Times New Roman"/>
          <w:b/>
          <w:kern w:val="0"/>
          <w:sz w:val="20"/>
          <w:szCs w:val="20"/>
          <w:lang w:val="fr-FR" w:bidi="ar-SA"/>
          <w14:ligatures w14:val="none"/>
        </w:rPr>
        <w:t xml:space="preserve">Risques fiscaux liés aux Obligations </w:t>
      </w:r>
    </w:p>
    <w:p w14:paraId="7061A01C" w14:textId="08B3D151" w:rsidR="002C3B37" w:rsidRPr="00CA74B8" w:rsidRDefault="002C3B37" w:rsidP="002C3B37">
      <w:pPr>
        <w:spacing w:after="60" w:line="240" w:lineRule="auto"/>
        <w:jc w:val="both"/>
        <w:rPr>
          <w:rFonts w:ascii="Times New Roman" w:eastAsia="MS Mincho" w:hAnsi="Times New Roman" w:cs="Times New Roman"/>
          <w:b/>
          <w:bCs/>
          <w:kern w:val="0"/>
          <w:sz w:val="20"/>
          <w:szCs w:val="20"/>
          <w:lang w:val="fr-FR" w:bidi="ar-SA"/>
          <w14:ligatures w14:val="none"/>
        </w:rPr>
      </w:pPr>
      <w:r w:rsidRPr="00CA74B8">
        <w:rPr>
          <w:rFonts w:ascii="Times New Roman" w:eastAsia="MS Mincho" w:hAnsi="Times New Roman" w:cs="Times New Roman"/>
          <w:b/>
          <w:i/>
          <w:iCs/>
          <w:kern w:val="0"/>
          <w:sz w:val="20"/>
          <w:szCs w:val="20"/>
          <w:lang w:val="fr-FR" w:bidi="ar-SA"/>
          <w14:ligatures w14:val="none"/>
        </w:rPr>
        <w:t>Taxe sur les transactions</w:t>
      </w:r>
      <w:r w:rsidRPr="00CA74B8">
        <w:rPr>
          <w:rFonts w:ascii="Times New Roman" w:eastAsia="MS Mincho" w:hAnsi="Times New Roman" w:cs="Times New Roman"/>
          <w:b/>
          <w:bCs/>
          <w:i/>
          <w:iCs/>
          <w:kern w:val="0"/>
          <w:sz w:val="20"/>
          <w:szCs w:val="20"/>
          <w:lang w:val="fr-FR" w:bidi="ar-SA"/>
          <w14:ligatures w14:val="none"/>
        </w:rPr>
        <w:t xml:space="preserve"> financières :</w:t>
      </w:r>
      <w:r w:rsidRPr="00CA74B8">
        <w:rPr>
          <w:rFonts w:ascii="Times New Roman" w:eastAsia="MS Mincho" w:hAnsi="Times New Roman" w:cs="Times New Roman"/>
          <w:kern w:val="0"/>
          <w:sz w:val="20"/>
          <w:szCs w:val="20"/>
          <w:lang w:val="fr-FR" w:bidi="ar-SA"/>
          <w14:ligatures w14:val="none"/>
        </w:rPr>
        <w:t xml:space="preserve"> En 2013, la Commission européenne a publié une proposition (la « Proposition de la Commission ») pour une Directive relative à une taxe commune sur les transactions financières (la « TTF »). Selon la Proposition de la Commission, la TTF devra être mise en œuvre dans certains États membres de l’UE, y compris l’Allemagne. Le risque spécifique est que la TTF puisse entraîner un traitement fiscal défavorable appliqué aux Obligations qui, à son tour, pourrait avoir un effet préjudiciable sur le rendement de l’investissement de l’Obligataire dans les Obligations.</w:t>
      </w:r>
    </w:p>
    <w:p w14:paraId="1B14E2A5" w14:textId="01D992E1" w:rsidR="008C1A14" w:rsidRPr="00CA74B8" w:rsidRDefault="002C3B37" w:rsidP="002C3B37">
      <w:pPr>
        <w:keepNext/>
        <w:keepLines/>
        <w:numPr>
          <w:ilvl w:val="1"/>
          <w:numId w:val="1"/>
        </w:numPr>
        <w:tabs>
          <w:tab w:val="num" w:pos="720"/>
        </w:tabs>
        <w:spacing w:after="60" w:line="240" w:lineRule="auto"/>
        <w:ind w:left="720"/>
        <w:jc w:val="both"/>
        <w:outlineLvl w:val="1"/>
        <w:rPr>
          <w:rFonts w:ascii="Times New Roman" w:eastAsia="Times New Roman" w:hAnsi="Times New Roman" w:cs="Times New Roman"/>
          <w:b/>
          <w:bCs/>
          <w:caps/>
          <w:color w:val="000000"/>
          <w:kern w:val="0"/>
          <w:sz w:val="20"/>
          <w:szCs w:val="20"/>
          <w:lang w:val="fr-FR" w:bidi="ar-SA"/>
          <w14:ligatures w14:val="none"/>
        </w:rPr>
      </w:pPr>
      <w:r w:rsidRPr="00CA74B8">
        <w:rPr>
          <w:rFonts w:ascii="Times New Roman" w:eastAsia="Times New Roman" w:hAnsi="Times New Roman" w:cs="Times New Roman"/>
          <w:b/>
          <w:bCs/>
          <w:caps/>
          <w:color w:val="000000"/>
          <w:kern w:val="0"/>
          <w:sz w:val="20"/>
          <w:szCs w:val="20"/>
          <w:lang w:val="fr-FR" w:bidi="ar-SA"/>
          <w14:ligatures w14:val="none"/>
        </w:rPr>
        <w:t>INFORMATIONS CLÉS SUR L’OFFRE DE TITRES AU PUBLIC ET SUR L’ADMISSION À LA NÉGOCIATION SUR UN MARCHÉ RÉGLEMENTÉ</w:t>
      </w:r>
    </w:p>
    <w:p w14:paraId="0B4781CD" w14:textId="23C1DB9C" w:rsidR="008C1A14" w:rsidRPr="00CA74B8" w:rsidRDefault="002C3B37" w:rsidP="008C1A1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Dans quelles conditions et selon quel calendrier puis-je investir dans les Obligations ?</w:t>
      </w:r>
    </w:p>
    <w:p w14:paraId="11EEF961" w14:textId="77777777" w:rsidR="002C3B37" w:rsidRPr="00CA74B8" w:rsidRDefault="002C3B37" w:rsidP="002C3B37">
      <w:pPr>
        <w:keepNext/>
        <w:spacing w:after="60" w:line="240" w:lineRule="auto"/>
        <w:rPr>
          <w:rFonts w:ascii="Times New Roman" w:eastAsia="MS Mincho" w:hAnsi="Times New Roman" w:cs="Times New Roman"/>
          <w:bCs/>
          <w:kern w:val="0"/>
          <w:sz w:val="20"/>
          <w:szCs w:val="20"/>
          <w:lang w:val="fr-FR" w:bidi="ar-SA"/>
          <w14:ligatures w14:val="none"/>
        </w:rPr>
      </w:pPr>
      <w:r w:rsidRPr="00CA74B8">
        <w:rPr>
          <w:rFonts w:ascii="Times New Roman" w:eastAsia="MS Mincho" w:hAnsi="Times New Roman" w:cs="Times New Roman"/>
          <w:bCs/>
          <w:kern w:val="0"/>
          <w:sz w:val="20"/>
          <w:szCs w:val="20"/>
          <w:lang w:val="fr-FR" w:bidi="ar-SA"/>
          <w14:ligatures w14:val="none"/>
        </w:rPr>
        <w:t>Les conditions et le calendrier d’investissement dans les Obligations sont indiqués ci-dessous.</w:t>
      </w:r>
    </w:p>
    <w:p w14:paraId="17E1BFF4" w14:textId="77777777" w:rsidR="002C3B37" w:rsidRPr="00CA74B8" w:rsidRDefault="002C3B37" w:rsidP="002C3B37">
      <w:pPr>
        <w:keepNext/>
        <w:spacing w:after="60" w:line="240" w:lineRule="auto"/>
        <w:rPr>
          <w:rFonts w:ascii="Times New Roman" w:eastAsia="MS Mincho" w:hAnsi="Times New Roman" w:cs="Times New Roman"/>
          <w:bCs/>
          <w:kern w:val="0"/>
          <w:sz w:val="20"/>
          <w:szCs w:val="20"/>
          <w:lang w:val="fr-FR" w:bidi="ar-SA"/>
          <w14:ligatures w14:val="none"/>
        </w:rPr>
      </w:pPr>
      <w:r w:rsidRPr="00CA74B8">
        <w:rPr>
          <w:rFonts w:ascii="Times New Roman" w:eastAsia="MS Mincho" w:hAnsi="Times New Roman" w:cs="Times New Roman"/>
          <w:bCs/>
          <w:kern w:val="0"/>
          <w:sz w:val="20"/>
          <w:szCs w:val="20"/>
          <w:lang w:val="fr-FR" w:bidi="ar-SA"/>
          <w14:ligatures w14:val="none"/>
        </w:rPr>
        <w:t>Cette émission d’Obligations est émise pour un montant total pouvant atteindre 3 200 000 000 d’Obligations bénéficiant d’un nantissement sur des ETH.</w:t>
      </w:r>
    </w:p>
    <w:p w14:paraId="0A936FDD" w14:textId="198CD4E8" w:rsidR="002C3B37" w:rsidRPr="00CA74B8" w:rsidRDefault="002C3B37" w:rsidP="002C3B37">
      <w:pPr>
        <w:keepNext/>
        <w:spacing w:after="60" w:line="240" w:lineRule="auto"/>
        <w:jc w:val="both"/>
        <w:rPr>
          <w:rFonts w:ascii="Times New Roman" w:eastAsia="MS Mincho" w:hAnsi="Times New Roman" w:cs="Times New Roman"/>
          <w:bCs/>
          <w:kern w:val="0"/>
          <w:sz w:val="20"/>
          <w:szCs w:val="20"/>
          <w:lang w:val="fr-FR" w:bidi="ar-SA"/>
          <w14:ligatures w14:val="none"/>
        </w:rPr>
      </w:pPr>
      <w:r w:rsidRPr="00CA74B8">
        <w:rPr>
          <w:rFonts w:ascii="Times New Roman" w:eastAsia="MS Mincho" w:hAnsi="Times New Roman" w:cs="Times New Roman"/>
          <w:b/>
          <w:i/>
          <w:iCs/>
          <w:kern w:val="0"/>
          <w:sz w:val="20"/>
          <w:szCs w:val="20"/>
          <w:lang w:val="fr-FR" w:bidi="ar-SA"/>
          <w14:ligatures w14:val="none"/>
        </w:rPr>
        <w:t>Achat des Obligations :</w:t>
      </w:r>
      <w:r w:rsidRPr="00CA74B8">
        <w:rPr>
          <w:rFonts w:ascii="Times New Roman" w:eastAsia="MS Mincho" w:hAnsi="Times New Roman" w:cs="Times New Roman"/>
          <w:bCs/>
          <w:kern w:val="0"/>
          <w:sz w:val="20"/>
          <w:szCs w:val="20"/>
          <w:lang w:val="fr-FR" w:bidi="ar-SA"/>
          <w14:ligatures w14:val="none"/>
        </w:rPr>
        <w:t xml:space="preserve"> Sur le marché primaire, l’Émetteur vendra des Obligations uniquement aux Participants Autorisés, et ces Obligations pourront uniquement être achetées avec la Crypto-monnaie. Les investisseurs qui ne sont pas des Participants Autorisés peuvent acheter les Obligations sur le marché secondaire soit (i) auprès d’un Participant Autorisé, conformément aux restrictions de vente applicables, (ii) via une bourse de valeurs par l’intermédiaire de leur courtier ou (iii) de gré à gré, auprès de tout individu. À ce titre, Flow </w:t>
      </w:r>
      <w:r w:rsidRPr="00B5596E">
        <w:rPr>
          <w:rFonts w:ascii="Times New Roman" w:eastAsia="MS Mincho" w:hAnsi="Times New Roman" w:cs="Times New Roman"/>
          <w:bCs/>
          <w:kern w:val="0"/>
          <w:sz w:val="20"/>
          <w:szCs w:val="20"/>
          <w:lang w:val="fr-FR" w:bidi="ar-SA"/>
          <w14:ligatures w14:val="none"/>
        </w:rPr>
        <w:t>Traders B.V., Jane Street Financial Limited, et Goldenberg Hehmeyer LLP ont été nommés en tant que Participants Autorisés</w:t>
      </w:r>
      <w:r w:rsidRPr="00CA74B8">
        <w:rPr>
          <w:rFonts w:ascii="Times New Roman" w:eastAsia="MS Mincho" w:hAnsi="Times New Roman" w:cs="Times New Roman"/>
          <w:bCs/>
          <w:kern w:val="0"/>
          <w:sz w:val="20"/>
          <w:szCs w:val="20"/>
          <w:lang w:val="fr-FR" w:bidi="ar-SA"/>
          <w14:ligatures w14:val="none"/>
        </w:rPr>
        <w:t xml:space="preserve">. La période d’offre devrait commencer le </w:t>
      </w:r>
      <w:r w:rsidR="00FD0E3E" w:rsidRPr="00CA74B8">
        <w:rPr>
          <w:rFonts w:ascii="Times New Roman" w:eastAsia="MS Mincho" w:hAnsi="Times New Roman" w:cs="Times New Roman"/>
          <w:bCs/>
          <w:kern w:val="0"/>
          <w:sz w:val="20"/>
          <w:szCs w:val="20"/>
          <w:lang w:val="fr-FR" w:bidi="ar-SA"/>
          <w14:ligatures w14:val="none"/>
        </w:rPr>
        <w:t>24</w:t>
      </w:r>
      <w:r w:rsidRPr="00CA74B8">
        <w:rPr>
          <w:rFonts w:ascii="Times New Roman" w:eastAsia="MS Mincho" w:hAnsi="Times New Roman" w:cs="Times New Roman"/>
          <w:bCs/>
          <w:kern w:val="0"/>
          <w:sz w:val="20"/>
          <w:szCs w:val="20"/>
          <w:lang w:val="fr-FR" w:bidi="ar-SA"/>
          <w14:ligatures w14:val="none"/>
        </w:rPr>
        <w:t xml:space="preserve"> janvier 2024 et sera ouverte jusqu’à la plus tardive des deux dates suivantes : (i) la date d’expiration du Prospectus de Base et (ii) l’expiration de la validité d’un nouveau prospectus de base succédant immédiatement au Prospectus de Base, sous réserve de toute clôture anticipée. Une offre au public peut être faite dans les pays spécifiés sous « 1.1 Introduction et avertissements », sous réserve des restrictions de vente applicables. </w:t>
      </w:r>
      <w:r w:rsidRPr="00B5596E">
        <w:rPr>
          <w:rFonts w:ascii="Times New Roman" w:eastAsia="MS Mincho" w:hAnsi="Times New Roman" w:cs="Times New Roman"/>
          <w:bCs/>
          <w:kern w:val="0"/>
          <w:sz w:val="20"/>
          <w:szCs w:val="20"/>
          <w:lang w:val="fr-FR" w:bidi="ar-SA"/>
          <w14:ligatures w14:val="none"/>
        </w:rPr>
        <w:t>DRW Europe B.V. a également été nommé Participant Autorisé en vertu du Prospectus de Base, mais n’acceptera ni n’offrira les Obligations aux investisseurs. DRW ne souscrira et rachètera les Obligations qu’à ses propres fins.</w:t>
      </w:r>
    </w:p>
    <w:p w14:paraId="4E66CD0E" w14:textId="6EDDD855" w:rsidR="002C3B37" w:rsidRPr="00CA74B8" w:rsidRDefault="002C3B37" w:rsidP="002D5055">
      <w:pPr>
        <w:keepNext/>
        <w:spacing w:after="60" w:line="240" w:lineRule="auto"/>
        <w:jc w:val="both"/>
        <w:rPr>
          <w:rFonts w:ascii="Times New Roman" w:eastAsia="MS Mincho" w:hAnsi="Times New Roman" w:cs="Times New Roman"/>
          <w:bCs/>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Conditions et détails techniques de l’offre :</w:t>
      </w:r>
      <w:r w:rsidRPr="00CA74B8">
        <w:rPr>
          <w:rFonts w:ascii="Times New Roman" w:eastAsia="MS Mincho" w:hAnsi="Times New Roman" w:cs="Times New Roman"/>
          <w:kern w:val="0"/>
          <w:sz w:val="20"/>
          <w:szCs w:val="20"/>
          <w:lang w:val="fr-FR" w:bidi="ar-SA"/>
          <w14:ligatures w14:val="none"/>
        </w:rPr>
        <w:t xml:space="preserve"> L’offre n’est soumise à aucune condition ni délai autre que le délai </w:t>
      </w:r>
      <w:r w:rsidRPr="00CA74B8">
        <w:rPr>
          <w:rFonts w:ascii="Times New Roman" w:eastAsia="MS Mincho" w:hAnsi="Times New Roman" w:cs="Times New Roman"/>
          <w:bCs/>
          <w:kern w:val="0"/>
          <w:sz w:val="20"/>
          <w:szCs w:val="20"/>
          <w:lang w:val="fr-FR" w:bidi="ar-SA"/>
          <w14:ligatures w14:val="none"/>
        </w:rPr>
        <w:t xml:space="preserve">résultant de la validité du Prospectus de Base tel que spécifié sous « Achat des Obligations ». Il n’est pas possible de réduire les souscriptions. Il n’y a pas d’exigence de souscription minimale ou maximale s’agissant des montants </w:t>
      </w:r>
      <w:r w:rsidRPr="00CA74B8">
        <w:rPr>
          <w:rFonts w:ascii="Times New Roman" w:eastAsia="MS Mincho" w:hAnsi="Times New Roman" w:cs="Times New Roman"/>
          <w:bCs/>
          <w:kern w:val="0"/>
          <w:sz w:val="20"/>
          <w:szCs w:val="20"/>
          <w:lang w:val="fr-FR" w:bidi="ar-SA"/>
          <w14:ligatures w14:val="none"/>
        </w:rPr>
        <w:lastRenderedPageBreak/>
        <w:t>de souscription, toutefois les intermédiaires financiers (y compris les Participants Autorisés) peuvent déterminer des montants de souscription minimum ou maximum lors de l’offre des Obligations discrétionnairement.</w:t>
      </w:r>
    </w:p>
    <w:p w14:paraId="58D56960" w14:textId="77777777" w:rsidR="002C3B37" w:rsidRPr="00CA74B8" w:rsidRDefault="002C3B37" w:rsidP="002D5055">
      <w:pPr>
        <w:keepNext/>
        <w:spacing w:after="60" w:line="240" w:lineRule="auto"/>
        <w:jc w:val="both"/>
        <w:rPr>
          <w:rFonts w:ascii="Times New Roman" w:eastAsia="MS Mincho" w:hAnsi="Times New Roman" w:cs="Times New Roman"/>
          <w:bCs/>
          <w:kern w:val="0"/>
          <w:sz w:val="20"/>
          <w:szCs w:val="20"/>
          <w:lang w:val="fr-FR" w:bidi="ar-SA"/>
          <w14:ligatures w14:val="none"/>
        </w:rPr>
      </w:pPr>
      <w:r w:rsidRPr="00CA74B8">
        <w:rPr>
          <w:rFonts w:ascii="Times New Roman" w:eastAsia="MS Mincho" w:hAnsi="Times New Roman" w:cs="Times New Roman"/>
          <w:bCs/>
          <w:kern w:val="0"/>
          <w:sz w:val="20"/>
          <w:szCs w:val="20"/>
          <w:lang w:val="fr-FR" w:bidi="ar-SA"/>
          <w14:ligatures w14:val="none"/>
        </w:rPr>
        <w:t>Les Obligations peuvent être achetées sur le marché primaire avec de la Crypto-monnaie, Euros, USD ou toute autre monnaie fiduciaire ou crypto-monnaie qui sera déterminée par chaque intermédiaire financier proposant les Obligations. Toutefois, les Obligations achetées directement auprès de l’Émetteur sur le marché primaire ne peuvent être achetées qu’avec de la Crypto-monnaie et uniquement par des Participants Autorisés. Les Obligations seront remises sous forme d’inscription en compte dans le système de compensation auprès des teneurs de comptes.</w:t>
      </w:r>
    </w:p>
    <w:p w14:paraId="20E532B4" w14:textId="278D32AD" w:rsidR="002C3B37" w:rsidRPr="00CA74B8" w:rsidRDefault="002C3B37" w:rsidP="002D5055">
      <w:pPr>
        <w:keepNext/>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i/>
          <w:iCs/>
          <w:kern w:val="0"/>
          <w:sz w:val="20"/>
          <w:szCs w:val="20"/>
          <w:lang w:val="fr-FR" w:bidi="ar-SA"/>
          <w14:ligatures w14:val="none"/>
        </w:rPr>
        <w:t>Méthode de détermination du Prix d’Émission :</w:t>
      </w:r>
      <w:r w:rsidRPr="00CA74B8">
        <w:rPr>
          <w:rFonts w:ascii="Times New Roman" w:eastAsia="MS Mincho" w:hAnsi="Times New Roman" w:cs="Times New Roman"/>
          <w:bCs/>
          <w:kern w:val="0"/>
          <w:sz w:val="20"/>
          <w:szCs w:val="20"/>
          <w:lang w:val="fr-FR" w:bidi="ar-SA"/>
          <w14:ligatures w14:val="none"/>
        </w:rPr>
        <w:t xml:space="preserve"> Le prix d’émission pour les Participants Autorisés est égal à la somme des « Droits d’Attribution Individuels de Crypto-monnaie » respectifs pour chaque Crypto-monnaie particulière composant</w:t>
      </w:r>
      <w:r w:rsidRPr="00CA74B8">
        <w:rPr>
          <w:rFonts w:ascii="Times New Roman" w:eastAsia="MS Mincho" w:hAnsi="Times New Roman" w:cs="Times New Roman"/>
          <w:kern w:val="0"/>
          <w:sz w:val="20"/>
          <w:szCs w:val="20"/>
          <w:lang w:val="fr-FR" w:bidi="ar-SA"/>
          <w14:ligatures w14:val="none"/>
        </w:rPr>
        <w:t xml:space="preserve"> le panier par Obligation, majoré d’une commission de souscription. Le Droit d’Attribution Individuel de Crypto-monnaie sera, si le jour concerné (« t » jours après la Date d’Émission) n’est </w:t>
      </w:r>
      <w:r w:rsidRPr="00CA74B8">
        <w:rPr>
          <w:rFonts w:ascii="Times New Roman" w:eastAsia="MS Mincho" w:hAnsi="Times New Roman" w:cs="Times New Roman"/>
          <w:kern w:val="0"/>
          <w:sz w:val="20"/>
          <w:szCs w:val="20"/>
          <w:u w:val="single"/>
          <w:lang w:val="fr-FR" w:bidi="ar-SA"/>
          <w14:ligatures w14:val="none"/>
        </w:rPr>
        <w:t>pas</w:t>
      </w:r>
      <w:r w:rsidRPr="00CA74B8">
        <w:rPr>
          <w:rFonts w:ascii="Times New Roman" w:eastAsia="MS Mincho" w:hAnsi="Times New Roman" w:cs="Times New Roman"/>
          <w:kern w:val="0"/>
          <w:sz w:val="20"/>
          <w:szCs w:val="20"/>
          <w:lang w:val="fr-FR" w:bidi="ar-SA"/>
          <w14:ligatures w14:val="none"/>
        </w:rPr>
        <w:t xml:space="preserve"> un Jour de Rééquilibrage ou n’est </w:t>
      </w:r>
      <w:r w:rsidRPr="00CA74B8">
        <w:rPr>
          <w:rFonts w:ascii="Times New Roman" w:eastAsia="MS Mincho" w:hAnsi="Times New Roman" w:cs="Times New Roman"/>
          <w:kern w:val="0"/>
          <w:sz w:val="20"/>
          <w:szCs w:val="20"/>
          <w:u w:val="single"/>
          <w:lang w:val="fr-FR" w:bidi="ar-SA"/>
          <w14:ligatures w14:val="none"/>
        </w:rPr>
        <w:t>pas</w:t>
      </w:r>
      <w:r w:rsidRPr="00CA74B8">
        <w:rPr>
          <w:rFonts w:ascii="Times New Roman" w:eastAsia="MS Mincho" w:hAnsi="Times New Roman" w:cs="Times New Roman"/>
          <w:kern w:val="0"/>
          <w:sz w:val="20"/>
          <w:szCs w:val="20"/>
          <w:lang w:val="fr-FR" w:bidi="ar-SA"/>
          <w14:ligatures w14:val="none"/>
        </w:rPr>
        <w:t xml:space="preserve"> un jour suivant immédiatement le Jour de Rééquilibrage, déterminé selon la formule suivante :</w:t>
      </w:r>
    </w:p>
    <w:p w14:paraId="5BE9F423" w14:textId="4AD0887F" w:rsidR="008C1A14" w:rsidRPr="00CA74B8" w:rsidRDefault="00000000" w:rsidP="008C1A14">
      <w:pPr>
        <w:ind w:left="1418"/>
        <w:jc w:val="center"/>
        <w:rPr>
          <w:rFonts w:ascii="Calibri" w:eastAsia="Calibri" w:hAnsi="Calibri" w:cs="Calibri"/>
          <w:kern w:val="0"/>
          <w:lang w:bidi="ar-SA"/>
          <w14:ligatures w14:val="none"/>
        </w:rPr>
      </w:pPr>
      <m:oMathPara>
        <m:oMath>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SCE</m:t>
              </m:r>
            </m:e>
            <m:sub>
              <m:r>
                <w:rPr>
                  <w:rFonts w:ascii="Cambria Math" w:eastAsia="Calibri" w:hAnsi="Cambria Math" w:cs="Arial"/>
                  <w:kern w:val="0"/>
                  <w:lang w:bidi="ar-SA"/>
                  <w14:ligatures w14:val="none"/>
                </w:rPr>
                <m:t>(t)</m:t>
              </m:r>
            </m:sub>
          </m:sSub>
          <m:r>
            <w:rPr>
              <w:rFonts w:ascii="Cambria Math" w:eastAsia="Calibri" w:hAnsi="Cambria Math" w:cs="Arial"/>
              <w:kern w:val="0"/>
              <w:lang w:bidi="ar-SA"/>
              <w14:ligatures w14:val="none"/>
            </w:rPr>
            <m:t>=</m:t>
          </m:r>
          <m:sSubSup>
            <m:sSubSupPr>
              <m:ctrlPr>
                <w:rPr>
                  <w:rFonts w:ascii="Cambria Math" w:eastAsia="MS PGothic" w:hAnsi="Cambria Math" w:cs="Calibri"/>
                  <w:i/>
                  <w:iCs/>
                  <w:kern w:val="0"/>
                  <w:lang w:val="en-US" w:bidi="ar-SA"/>
                  <w14:ligatures w14:val="none"/>
                </w:rPr>
              </m:ctrlPr>
            </m:sSubSupPr>
            <m:e>
              <m:r>
                <w:rPr>
                  <w:rFonts w:ascii="Cambria Math" w:eastAsia="Calibri" w:hAnsi="Cambria Math" w:cs="Arial"/>
                  <w:kern w:val="0"/>
                  <w:lang w:bidi="ar-SA"/>
                  <w14:ligatures w14:val="none"/>
                </w:rPr>
                <m:t>SCE</m:t>
              </m:r>
            </m:e>
            <m:sub>
              <m:d>
                <m:dPr>
                  <m:ctrlPr>
                    <w:rPr>
                      <w:rFonts w:ascii="Cambria Math" w:eastAsia="MS PGothic" w:hAnsi="Cambria Math" w:cs="Calibri"/>
                      <w:i/>
                      <w:iCs/>
                      <w:kern w:val="0"/>
                      <w:lang w:val="en-US" w:bidi="ar-SA"/>
                      <w14:ligatures w14:val="none"/>
                    </w:rPr>
                  </m:ctrlPr>
                </m:dPr>
                <m:e>
                  <m:r>
                    <w:rPr>
                      <w:rFonts w:ascii="Cambria Math" w:eastAsia="Calibri" w:hAnsi="Cambria Math" w:cs="Arial"/>
                      <w:kern w:val="0"/>
                      <w:lang w:bidi="ar-SA"/>
                      <w14:ligatures w14:val="none"/>
                    </w:rPr>
                    <m:t>t-1</m:t>
                  </m:r>
                </m:e>
              </m:d>
            </m:sub>
            <m:sup>
              <m:r>
                <w:rPr>
                  <w:rFonts w:ascii="Cambria Math" w:eastAsia="Calibri" w:hAnsi="Cambria Math" w:cs="Arial"/>
                  <w:kern w:val="0"/>
                  <w:lang w:bidi="ar-SA"/>
                  <w14:ligatures w14:val="none"/>
                </w:rPr>
                <m:t>i</m:t>
              </m:r>
            </m:sup>
          </m:sSubSup>
          <m:r>
            <w:rPr>
              <w:rFonts w:ascii="Cambria Math" w:eastAsia="Calibri" w:hAnsi="Cambria Math" w:cs="Arial"/>
              <w:kern w:val="0"/>
              <w:lang w:bidi="ar-SA"/>
              <w14:ligatures w14:val="none"/>
            </w:rPr>
            <m:t>*</m:t>
          </m:r>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 xml:space="preserve">1- </m:t>
              </m:r>
              <m:f>
                <m:fPr>
                  <m:ctrlPr>
                    <w:rPr>
                      <w:rFonts w:ascii="Cambria Math" w:eastAsia="MS PGothic" w:hAnsi="Cambria Math" w:cs="Calibri"/>
                      <w:kern w:val="0"/>
                      <w:lang w:val="en-US" w:bidi="ar-SA"/>
                      <w14:ligatures w14:val="none"/>
                    </w:rPr>
                  </m:ctrlPr>
                </m:fPr>
                <m:num>
                  <m:r>
                    <w:rPr>
                      <w:rFonts w:ascii="Cambria Math" w:eastAsia="Calibri" w:hAnsi="Cambria Math" w:cs="Arial"/>
                      <w:kern w:val="0"/>
                      <w:lang w:bidi="ar-SA"/>
                      <w14:ligatures w14:val="none"/>
                    </w:rPr>
                    <m:t>DER</m:t>
                  </m:r>
                </m:num>
                <m:den>
                  <m:r>
                    <w:rPr>
                      <w:rFonts w:ascii="Cambria Math" w:eastAsia="Calibri" w:hAnsi="Cambria Math" w:cs="Arial"/>
                      <w:kern w:val="0"/>
                      <w:lang w:bidi="ar-SA"/>
                      <w14:ligatures w14:val="none"/>
                    </w:rPr>
                    <m:t>365</m:t>
                  </m:r>
                </m:den>
              </m:f>
            </m:e>
          </m:d>
          <m:r>
            <w:rPr>
              <w:rFonts w:ascii="Cambria Math" w:eastAsia="Calibri" w:hAnsi="Cambria Math" w:cs="Arial"/>
              <w:kern w:val="0"/>
              <w:lang w:bidi="ar-SA"/>
              <w14:ligatures w14:val="none"/>
            </w:rPr>
            <m:t>+</m:t>
          </m:r>
          <m:f>
            <m:fPr>
              <m:ctrlPr>
                <w:rPr>
                  <w:rFonts w:ascii="Cambria Math" w:eastAsia="MS PGothic" w:hAnsi="Cambria Math" w:cs="Calibri"/>
                  <w:kern w:val="0"/>
                  <w:lang w:val="en-US" w:bidi="ar-SA"/>
                  <w14:ligatures w14:val="none"/>
                </w:rPr>
              </m:ctrlPr>
            </m:fPr>
            <m:num>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SSR</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t-2</m:t>
                      </m:r>
                    </m:e>
                  </m:d>
                </m:sub>
              </m:sSub>
            </m:num>
            <m:den>
              <m:sSub>
                <m:sSubPr>
                  <m:ctrlPr>
                    <w:rPr>
                      <w:rFonts w:ascii="Cambria Math" w:eastAsia="MS PGothic" w:hAnsi="Cambria Math" w:cs="Calibri"/>
                      <w:kern w:val="0"/>
                      <w:lang w:val="en-US" w:bidi="ar-SA"/>
                      <w14:ligatures w14:val="none"/>
                    </w:rPr>
                  </m:ctrlPr>
                </m:sSubPr>
                <m:e>
                  <m:r>
                    <w:rPr>
                      <w:rFonts w:ascii="Cambria Math" w:eastAsia="Calibri" w:hAnsi="Cambria Math" w:cs="Arial"/>
                      <w:kern w:val="0"/>
                      <w:lang w:bidi="ar-SA"/>
                      <w14:ligatures w14:val="none"/>
                    </w:rPr>
                    <m:t>N</m:t>
                  </m:r>
                </m:e>
                <m:sub>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t-1</m:t>
                      </m:r>
                    </m:e>
                  </m:d>
                </m:sub>
              </m:sSub>
            </m:den>
          </m:f>
          <m:d>
            <m:dPr>
              <m:ctrlPr>
                <w:rPr>
                  <w:rFonts w:ascii="Cambria Math" w:eastAsia="MS PGothic" w:hAnsi="Cambria Math" w:cs="Calibri"/>
                  <w:kern w:val="0"/>
                  <w:lang w:val="en-US" w:bidi="ar-SA"/>
                  <w14:ligatures w14:val="none"/>
                </w:rPr>
              </m:ctrlPr>
            </m:dPr>
            <m:e>
              <m:r>
                <w:rPr>
                  <w:rFonts w:ascii="Cambria Math" w:eastAsia="Calibri" w:hAnsi="Cambria Math" w:cs="Arial"/>
                  <w:kern w:val="0"/>
                  <w:lang w:bidi="ar-SA"/>
                  <w14:ligatures w14:val="none"/>
                </w:rPr>
                <m:t>1-</m:t>
              </m:r>
              <m:sSubSup>
                <m:sSubSupPr>
                  <m:ctrlPr>
                    <w:rPr>
                      <w:rFonts w:ascii="Cambria Math" w:eastAsia="MS PGothic" w:hAnsi="Cambria Math" w:cs="Calibri"/>
                      <w:b/>
                      <w:bCs/>
                      <w:i/>
                      <w:iCs/>
                      <w:kern w:val="0"/>
                      <w:lang w:val="en-US" w:bidi="ar-SA"/>
                      <w14:ligatures w14:val="none"/>
                    </w:rPr>
                  </m:ctrlPr>
                </m:sSubSupPr>
                <m:e>
                  <m:r>
                    <m:rPr>
                      <m:sty m:val="bi"/>
                    </m:rPr>
                    <w:rPr>
                      <w:rFonts w:ascii="Cambria Math" w:eastAsia="Calibri" w:hAnsi="Cambria Math" w:cs="Arial"/>
                      <w:kern w:val="0"/>
                      <w:lang w:bidi="ar-SA"/>
                      <w14:ligatures w14:val="none"/>
                    </w:rPr>
                    <m:t>DSC</m:t>
                  </m:r>
                </m:e>
                <m:sub>
                  <m:r>
                    <m:rPr>
                      <m:sty m:val="bi"/>
                    </m:rPr>
                    <w:rPr>
                      <w:rFonts w:ascii="Cambria Math" w:eastAsia="Calibri" w:hAnsi="Cambria Math" w:cs="Arial"/>
                      <w:kern w:val="0"/>
                      <w:lang w:bidi="ar-SA"/>
                      <w14:ligatures w14:val="none"/>
                    </w:rPr>
                    <m:t>(t)</m:t>
                  </m:r>
                </m:sub>
                <m:sup>
                  <m:r>
                    <m:rPr>
                      <m:sty m:val="bi"/>
                    </m:rPr>
                    <w:rPr>
                      <w:rFonts w:ascii="Cambria Math" w:eastAsia="Calibri" w:hAnsi="Cambria Math" w:cs="Arial"/>
                      <w:kern w:val="0"/>
                      <w:lang w:bidi="ar-SA"/>
                      <w14:ligatures w14:val="none"/>
                    </w:rPr>
                    <m:t>i</m:t>
                  </m:r>
                </m:sup>
              </m:sSubSup>
            </m:e>
          </m:d>
        </m:oMath>
      </m:oMathPara>
    </w:p>
    <w:p w14:paraId="3947BD27" w14:textId="77777777"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proofErr w:type="spellStart"/>
      <w:proofErr w:type="gramStart"/>
      <w:r w:rsidRPr="00CA74B8">
        <w:rPr>
          <w:rFonts w:ascii="Times New Roman" w:eastAsia="Calibri" w:hAnsi="Times New Roman" w:cs="Times New Roman"/>
          <w:kern w:val="0"/>
          <w:sz w:val="20"/>
          <w:szCs w:val="20"/>
          <w:lang w:val="fr-FR" w:eastAsia="en-GB" w:bidi="ar-SA"/>
          <w14:ligatures w14:val="none"/>
        </w:rPr>
        <w:t>Where</w:t>
      </w:r>
      <w:proofErr w:type="spellEnd"/>
      <w:r w:rsidRPr="00CA74B8">
        <w:rPr>
          <w:rFonts w:ascii="Times New Roman" w:eastAsia="Calibri" w:hAnsi="Times New Roman" w:cs="Times New Roman"/>
          <w:kern w:val="0"/>
          <w:sz w:val="20"/>
          <w:szCs w:val="20"/>
          <w:lang w:val="fr-FR" w:eastAsia="en-GB" w:bidi="ar-SA"/>
          <w14:ligatures w14:val="none"/>
        </w:rPr>
        <w:t>:</w:t>
      </w:r>
      <w:proofErr w:type="gramEnd"/>
    </w:p>
    <w:p w14:paraId="1030643A" w14:textId="60016233"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p>
    <w:p w14:paraId="2B81BD7E" w14:textId="70B7E054"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r w:rsidRPr="00CA74B8">
        <w:rPr>
          <w:rFonts w:ascii="Times New Roman" w:eastAsia="Calibri" w:hAnsi="Times New Roman" w:cs="Times New Roman"/>
          <w:kern w:val="0"/>
          <w:sz w:val="20"/>
          <w:szCs w:val="20"/>
          <w:lang w:val="fr-FR"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fr-FR"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fr-FR"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CA74B8">
        <w:rPr>
          <w:rFonts w:ascii="Times New Roman" w:eastAsia="Calibri" w:hAnsi="Times New Roman" w:cs="Times New Roman"/>
          <w:kern w:val="0"/>
          <w:sz w:val="20"/>
          <w:szCs w:val="20"/>
          <w:lang w:val="fr-FR" w:eastAsia="en-GB" w:bidi="ar-SA"/>
          <w14:ligatures w14:val="none"/>
        </w:rPr>
        <w:t xml:space="preserve">" </w:t>
      </w:r>
      <w:r w:rsidR="00A82619" w:rsidRPr="00CA74B8">
        <w:rPr>
          <w:rFonts w:ascii="Times New Roman" w:eastAsia="Calibri" w:hAnsi="Times New Roman" w:cs="Times New Roman"/>
          <w:kern w:val="0"/>
          <w:sz w:val="20"/>
          <w:szCs w:val="20"/>
          <w:lang w:val="fr-FR" w:eastAsia="en-GB" w:bidi="ar-SA"/>
          <w14:ligatures w14:val="none"/>
        </w:rPr>
        <w:t>signifie le Droit d’Attribution Individuel de Crypto-monnaie concernant la Crypto-monnaie particulière incluse dans le panier (désignée par « i ») au jour « t » jours après la Date d’Émission ;</w:t>
      </w:r>
    </w:p>
    <w:p w14:paraId="2B4F5BFF" w14:textId="03BB9CC7"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p>
    <w:p w14:paraId="1E891B95" w14:textId="2B4D6153" w:rsidR="008C1A14"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r w:rsidRPr="00CA74B8">
        <w:rPr>
          <w:rFonts w:ascii="Times New Roman" w:eastAsia="Calibri" w:hAnsi="Times New Roman" w:cs="Times New Roman"/>
          <w:kern w:val="0"/>
          <w:sz w:val="20"/>
          <w:szCs w:val="20"/>
          <w:lang w:val="fr-FR" w:eastAsia="en-GB" w:bidi="ar-SA"/>
          <w14:ligatures w14:val="none"/>
        </w:rPr>
        <w:t>"</w:t>
      </w:r>
      <w:r w:rsidRPr="00CA74B8">
        <w:rPr>
          <w:rFonts w:ascii="Times New Roman" w:eastAsia="Calibri" w:hAnsi="Times New Roman" w:cs="Times New Roman"/>
          <w:b/>
          <w:bCs/>
          <w:kern w:val="0"/>
          <w:sz w:val="20"/>
          <w:szCs w:val="20"/>
          <w:lang w:val="fr-FR" w:eastAsia="en-GB" w:bidi="ar-SA"/>
          <w14:ligatures w14:val="none"/>
        </w:rPr>
        <w:t>t</w:t>
      </w:r>
      <w:r w:rsidRPr="00CA74B8">
        <w:rPr>
          <w:rFonts w:ascii="Times New Roman" w:eastAsia="Calibri" w:hAnsi="Times New Roman" w:cs="Times New Roman"/>
          <w:kern w:val="0"/>
          <w:sz w:val="20"/>
          <w:szCs w:val="20"/>
          <w:lang w:val="fr-FR" w:eastAsia="en-GB" w:bidi="ar-SA"/>
          <w14:ligatures w14:val="none"/>
        </w:rPr>
        <w:t>"</w:t>
      </w:r>
      <w:r w:rsidRPr="00CA74B8">
        <w:rPr>
          <w:rFonts w:ascii="Times New Roman" w:eastAsia="Calibri" w:hAnsi="Times New Roman" w:cs="Times New Roman"/>
          <w:b/>
          <w:bCs/>
          <w:kern w:val="0"/>
          <w:sz w:val="20"/>
          <w:szCs w:val="20"/>
          <w:lang w:val="fr-FR" w:eastAsia="en-GB" w:bidi="ar-SA"/>
          <w14:ligatures w14:val="none"/>
        </w:rPr>
        <w:t xml:space="preserve"> </w:t>
      </w:r>
      <w:r w:rsidR="00A82619" w:rsidRPr="00CA74B8">
        <w:rPr>
          <w:rFonts w:ascii="Times New Roman" w:eastAsia="Calibri" w:hAnsi="Times New Roman" w:cs="Times New Roman"/>
          <w:kern w:val="0"/>
          <w:sz w:val="20"/>
          <w:szCs w:val="20"/>
          <w:lang w:val="fr-FR" w:eastAsia="en-GB" w:bidi="ar-SA"/>
          <w14:ligatures w14:val="none"/>
        </w:rPr>
        <w:t>signifie le nombre de jours calendaires écoulés depuis la Date d’Émission ;</w:t>
      </w:r>
    </w:p>
    <w:p w14:paraId="7965445D" w14:textId="77777777" w:rsidR="00B5596E" w:rsidRPr="00CA74B8" w:rsidRDefault="00B5596E" w:rsidP="008C1A14">
      <w:pPr>
        <w:spacing w:after="0" w:line="240" w:lineRule="auto"/>
        <w:jc w:val="both"/>
        <w:rPr>
          <w:rFonts w:ascii="Times New Roman" w:eastAsia="Calibri" w:hAnsi="Times New Roman" w:cs="Times New Roman"/>
          <w:b/>
          <w:bCs/>
          <w:kern w:val="0"/>
          <w:sz w:val="20"/>
          <w:szCs w:val="20"/>
          <w:lang w:val="fr-FR" w:eastAsia="en-GB" w:bidi="ar-SA"/>
          <w14:ligatures w14:val="none"/>
        </w:rPr>
      </w:pPr>
    </w:p>
    <w:p w14:paraId="0373D35A" w14:textId="0E588F77" w:rsidR="008C1A14" w:rsidRPr="00CA74B8" w:rsidRDefault="008C1A14" w:rsidP="00A82619">
      <w:pPr>
        <w:spacing w:after="0" w:line="240" w:lineRule="auto"/>
        <w:jc w:val="both"/>
        <w:rPr>
          <w:rFonts w:ascii="Times New Roman" w:eastAsia="Calibri" w:hAnsi="Times New Roman" w:cs="Times New Roman"/>
          <w:kern w:val="0"/>
          <w:sz w:val="20"/>
          <w:szCs w:val="20"/>
          <w:lang w:val="fr-FR" w:eastAsia="en-GB" w:bidi="ar-SA"/>
          <w14:ligatures w14:val="none"/>
        </w:rPr>
      </w:pPr>
      <w:r w:rsidRPr="00CA74B8">
        <w:rPr>
          <w:rFonts w:ascii="Times New Roman" w:eastAsia="Calibri" w:hAnsi="Times New Roman" w:cs="Times New Roman"/>
          <w:kern w:val="0"/>
          <w:sz w:val="20"/>
          <w:szCs w:val="20"/>
          <w:lang w:val="fr-FR"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SCE</m:t>
            </m:r>
          </m:e>
          <m:sub>
            <m:r>
              <m:rPr>
                <m:sty m:val="bi"/>
              </m:rPr>
              <w:rPr>
                <w:rFonts w:ascii="Cambria Math" w:eastAsia="Calibri" w:hAnsi="Cambria Math" w:cs="Times New Roman"/>
                <w:kern w:val="0"/>
                <w:sz w:val="20"/>
                <w:szCs w:val="20"/>
                <w:lang w:val="fr-FR"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fr-FR"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1</m:t>
            </m:r>
            <m:r>
              <m:rPr>
                <m:sty m:val="bi"/>
              </m:rPr>
              <w:rPr>
                <w:rFonts w:ascii="Cambria Math" w:eastAsia="Calibri" w:hAnsi="Cambria Math" w:cs="Times New Roman"/>
                <w:kern w:val="0"/>
                <w:sz w:val="20"/>
                <w:szCs w:val="20"/>
                <w:lang w:val="fr-FR"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CA74B8">
        <w:rPr>
          <w:rFonts w:ascii="Times New Roman" w:eastAsia="Calibri" w:hAnsi="Times New Roman" w:cs="Times New Roman"/>
          <w:kern w:val="0"/>
          <w:sz w:val="20"/>
          <w:szCs w:val="20"/>
          <w:lang w:val="fr-FR" w:eastAsia="en-GB" w:bidi="ar-SA"/>
          <w14:ligatures w14:val="none"/>
        </w:rPr>
        <w:t xml:space="preserve">" </w:t>
      </w:r>
      <w:r w:rsidR="00A82619" w:rsidRPr="00CA74B8">
        <w:rPr>
          <w:rFonts w:ascii="Times New Roman" w:eastAsia="Calibri" w:hAnsi="Times New Roman" w:cs="Times New Roman"/>
          <w:kern w:val="0"/>
          <w:sz w:val="20"/>
          <w:szCs w:val="20"/>
          <w:lang w:val="fr-FR" w:eastAsia="en-GB" w:bidi="ar-SA"/>
          <w14:ligatures w14:val="none"/>
        </w:rPr>
        <w:t xml:space="preserve">signifie le Droit d’Attribution </w:t>
      </w:r>
      <w:r w:rsidR="00615CBB" w:rsidRPr="00CA74B8">
        <w:rPr>
          <w:rFonts w:ascii="Times New Roman" w:eastAsia="Calibri" w:hAnsi="Times New Roman" w:cs="Times New Roman"/>
          <w:kern w:val="0"/>
          <w:sz w:val="20"/>
          <w:szCs w:val="20"/>
          <w:lang w:val="fr-FR" w:eastAsia="en-GB" w:bidi="ar-SA"/>
          <w14:ligatures w14:val="none"/>
        </w:rPr>
        <w:t xml:space="preserve">seul </w:t>
      </w:r>
      <w:r w:rsidR="00A82619" w:rsidRPr="00CA74B8">
        <w:rPr>
          <w:rFonts w:ascii="Times New Roman" w:eastAsia="Calibri" w:hAnsi="Times New Roman" w:cs="Times New Roman"/>
          <w:kern w:val="0"/>
          <w:sz w:val="20"/>
          <w:szCs w:val="20"/>
          <w:lang w:val="fr-FR" w:eastAsia="en-GB" w:bidi="ar-SA"/>
          <w14:ligatures w14:val="none"/>
        </w:rPr>
        <w:t xml:space="preserve">de Crypto-monnaie concernant la Crypto-monnaie particulière incluse dans le panier (désignée par « i ») le jour précédent le jour « t » jours après la Date </w:t>
      </w:r>
      <w:r w:rsidR="00A82619" w:rsidRPr="00CA74B8">
        <w:rPr>
          <w:rFonts w:ascii="Times New Roman" w:eastAsia="Calibri" w:hAnsi="Times New Roman" w:cs="Times New Roman"/>
          <w:kern w:val="0"/>
          <w:sz w:val="20"/>
          <w:szCs w:val="20"/>
          <w:lang w:val="fr-FR" w:eastAsia="en-GB" w:bidi="ar-SA"/>
          <w14:ligatures w14:val="none"/>
        </w:rPr>
        <w:br/>
        <w:t>d’Émission ;</w:t>
      </w:r>
    </w:p>
    <w:p w14:paraId="63C467A2" w14:textId="77777777" w:rsidR="00A82619" w:rsidRPr="00CA74B8" w:rsidRDefault="00A82619" w:rsidP="00A82619">
      <w:pPr>
        <w:spacing w:after="0" w:line="240" w:lineRule="auto"/>
        <w:jc w:val="both"/>
        <w:rPr>
          <w:rFonts w:ascii="Times New Roman" w:eastAsia="Calibri" w:hAnsi="Times New Roman" w:cs="Times New Roman"/>
          <w:kern w:val="0"/>
          <w:sz w:val="20"/>
          <w:szCs w:val="20"/>
          <w:lang w:val="fr-FR" w:eastAsia="en-GB" w:bidi="ar-SA"/>
          <w14:ligatures w14:val="none"/>
        </w:rPr>
      </w:pPr>
    </w:p>
    <w:p w14:paraId="7F9219D0" w14:textId="2811DE6D" w:rsidR="008C1A14" w:rsidRPr="00CA74B8" w:rsidRDefault="008C1A14" w:rsidP="00A82619">
      <w:pPr>
        <w:spacing w:after="0" w:line="240" w:lineRule="auto"/>
        <w:jc w:val="both"/>
        <w:rPr>
          <w:rFonts w:ascii="Times New Roman" w:eastAsia="Calibri" w:hAnsi="Times New Roman" w:cs="Times New Roman"/>
          <w:kern w:val="0"/>
          <w:sz w:val="20"/>
          <w:szCs w:val="20"/>
          <w:lang w:val="fr-FR" w:eastAsia="en-GB" w:bidi="ar-SA"/>
          <w14:ligatures w14:val="none"/>
        </w:rPr>
      </w:pPr>
      <w:r w:rsidRPr="00CA74B8">
        <w:rPr>
          <w:rFonts w:ascii="Times New Roman" w:eastAsia="Calibri" w:hAnsi="Times New Roman" w:cs="Times New Roman"/>
          <w:kern w:val="0"/>
          <w:sz w:val="20"/>
          <w:szCs w:val="20"/>
          <w:lang w:val="fr-FR"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SSR</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fr-FR"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2</m:t>
                </m:r>
              </m:e>
            </m:d>
          </m:sub>
        </m:sSub>
      </m:oMath>
      <w:r w:rsidRPr="00CA74B8">
        <w:rPr>
          <w:rFonts w:ascii="Times New Roman" w:eastAsia="Calibri" w:hAnsi="Times New Roman" w:cs="Times New Roman"/>
          <w:kern w:val="0"/>
          <w:sz w:val="20"/>
          <w:szCs w:val="20"/>
          <w:lang w:val="fr-FR" w:eastAsia="en-GB" w:bidi="ar-SA"/>
          <w14:ligatures w14:val="none"/>
        </w:rPr>
        <w:t xml:space="preserve">" </w:t>
      </w:r>
      <w:r w:rsidR="00A82619" w:rsidRPr="00CA74B8">
        <w:rPr>
          <w:rFonts w:ascii="Times New Roman" w:eastAsia="Calibri" w:hAnsi="Times New Roman" w:cs="Times New Roman"/>
          <w:kern w:val="0"/>
          <w:sz w:val="20"/>
          <w:szCs w:val="20"/>
          <w:lang w:val="fr-FR" w:eastAsia="en-GB" w:bidi="ar-SA"/>
          <w14:ligatures w14:val="none"/>
        </w:rPr>
        <w:t xml:space="preserve">signifie les récompenses de </w:t>
      </w:r>
      <w:proofErr w:type="spellStart"/>
      <w:r w:rsidR="00A82619" w:rsidRPr="00CA74B8">
        <w:rPr>
          <w:rFonts w:ascii="Times New Roman" w:eastAsia="Calibri" w:hAnsi="Times New Roman" w:cs="Times New Roman"/>
          <w:kern w:val="0"/>
          <w:sz w:val="20"/>
          <w:szCs w:val="20"/>
          <w:lang w:val="fr-FR" w:eastAsia="en-GB" w:bidi="ar-SA"/>
          <w14:ligatures w14:val="none"/>
        </w:rPr>
        <w:t>staking</w:t>
      </w:r>
      <w:proofErr w:type="spellEnd"/>
      <w:r w:rsidR="00A82619" w:rsidRPr="00CA74B8">
        <w:rPr>
          <w:rFonts w:ascii="Times New Roman" w:eastAsia="Calibri" w:hAnsi="Times New Roman" w:cs="Times New Roman"/>
          <w:kern w:val="0"/>
          <w:sz w:val="20"/>
          <w:szCs w:val="20"/>
          <w:lang w:val="fr-FR" w:eastAsia="en-GB" w:bidi="ar-SA"/>
          <w14:ligatures w14:val="none"/>
        </w:rPr>
        <w:t xml:space="preserve"> </w:t>
      </w:r>
      <w:r w:rsidR="00615CBB" w:rsidRPr="00CA74B8">
        <w:rPr>
          <w:rFonts w:ascii="Times New Roman" w:eastAsia="Calibri" w:hAnsi="Times New Roman" w:cs="Times New Roman"/>
          <w:kern w:val="0"/>
          <w:sz w:val="20"/>
          <w:szCs w:val="20"/>
          <w:lang w:val="fr-FR" w:eastAsia="en-GB" w:bidi="ar-SA"/>
          <w14:ligatures w14:val="none"/>
        </w:rPr>
        <w:t xml:space="preserve">seules </w:t>
      </w:r>
      <w:r w:rsidR="00A82619" w:rsidRPr="00CA74B8">
        <w:rPr>
          <w:rFonts w:ascii="Times New Roman" w:eastAsia="Calibri" w:hAnsi="Times New Roman" w:cs="Times New Roman"/>
          <w:kern w:val="0"/>
          <w:sz w:val="20"/>
          <w:szCs w:val="20"/>
          <w:lang w:val="fr-FR" w:eastAsia="en-GB" w:bidi="ar-SA"/>
          <w14:ligatures w14:val="none"/>
        </w:rPr>
        <w:t xml:space="preserve">exprimées dans la crypto-monnaie respective reçues (à la fois gagnées et accumulées) du </w:t>
      </w:r>
      <w:proofErr w:type="spellStart"/>
      <w:r w:rsidR="00A82619" w:rsidRPr="00CA74B8">
        <w:rPr>
          <w:rFonts w:ascii="Times New Roman" w:eastAsia="Calibri" w:hAnsi="Times New Roman" w:cs="Times New Roman"/>
          <w:kern w:val="0"/>
          <w:sz w:val="20"/>
          <w:szCs w:val="20"/>
          <w:lang w:val="fr-FR" w:eastAsia="en-GB" w:bidi="ar-SA"/>
          <w14:ligatures w14:val="none"/>
        </w:rPr>
        <w:t>staking</w:t>
      </w:r>
      <w:proofErr w:type="spellEnd"/>
      <w:r w:rsidR="00A82619" w:rsidRPr="00CA74B8">
        <w:rPr>
          <w:rFonts w:ascii="Times New Roman" w:eastAsia="Calibri" w:hAnsi="Times New Roman" w:cs="Times New Roman"/>
          <w:kern w:val="0"/>
          <w:sz w:val="20"/>
          <w:szCs w:val="20"/>
          <w:lang w:val="fr-FR" w:eastAsia="en-GB" w:bidi="ar-SA"/>
          <w14:ligatures w14:val="none"/>
        </w:rPr>
        <w:t xml:space="preserve"> </w:t>
      </w:r>
      <w:r w:rsidR="00A0198D">
        <w:rPr>
          <w:rFonts w:ascii="Times New Roman" w:eastAsia="Calibri" w:hAnsi="Times New Roman" w:cs="Times New Roman"/>
          <w:kern w:val="0"/>
          <w:sz w:val="20"/>
          <w:szCs w:val="20"/>
          <w:lang w:val="fr-FR" w:eastAsia="en-GB" w:bidi="ar-SA"/>
          <w14:ligatures w14:val="none"/>
        </w:rPr>
        <w:t>deux</w:t>
      </w:r>
      <w:r w:rsidR="00A82619" w:rsidRPr="00CA74B8">
        <w:rPr>
          <w:rFonts w:ascii="Times New Roman" w:eastAsia="Calibri" w:hAnsi="Times New Roman" w:cs="Times New Roman"/>
          <w:kern w:val="0"/>
          <w:sz w:val="20"/>
          <w:szCs w:val="20"/>
          <w:lang w:val="fr-FR" w:eastAsia="en-GB" w:bidi="ar-SA"/>
          <w14:ligatures w14:val="none"/>
        </w:rPr>
        <w:t xml:space="preserve"> jour</w:t>
      </w:r>
      <w:r w:rsidR="00A0198D">
        <w:rPr>
          <w:rFonts w:ascii="Times New Roman" w:eastAsia="Calibri" w:hAnsi="Times New Roman" w:cs="Times New Roman"/>
          <w:kern w:val="0"/>
          <w:sz w:val="20"/>
          <w:szCs w:val="20"/>
          <w:lang w:val="fr-FR" w:eastAsia="en-GB" w:bidi="ar-SA"/>
          <w14:ligatures w14:val="none"/>
        </w:rPr>
        <w:t>s</w:t>
      </w:r>
      <w:r w:rsidR="00A82619" w:rsidRPr="00CA74B8">
        <w:rPr>
          <w:rFonts w:ascii="Times New Roman" w:eastAsia="Calibri" w:hAnsi="Times New Roman" w:cs="Times New Roman"/>
          <w:kern w:val="0"/>
          <w:sz w:val="20"/>
          <w:szCs w:val="20"/>
          <w:lang w:val="fr-FR" w:eastAsia="en-GB" w:bidi="ar-SA"/>
          <w14:ligatures w14:val="none"/>
        </w:rPr>
        <w:t xml:space="preserve"> </w:t>
      </w:r>
      <w:proofErr w:type="spellStart"/>
      <w:r w:rsidR="00A82619" w:rsidRPr="00CA74B8">
        <w:rPr>
          <w:rFonts w:ascii="Times New Roman" w:eastAsia="Calibri" w:hAnsi="Times New Roman" w:cs="Times New Roman"/>
          <w:kern w:val="0"/>
          <w:sz w:val="20"/>
          <w:szCs w:val="20"/>
          <w:lang w:val="fr-FR" w:eastAsia="en-GB" w:bidi="ar-SA"/>
          <w14:ligatures w14:val="none"/>
        </w:rPr>
        <w:t>précédent</w:t>
      </w:r>
      <w:proofErr w:type="spellEnd"/>
      <w:r w:rsidR="00A82619" w:rsidRPr="00CA74B8">
        <w:rPr>
          <w:rFonts w:ascii="Times New Roman" w:eastAsia="Calibri" w:hAnsi="Times New Roman" w:cs="Times New Roman"/>
          <w:kern w:val="0"/>
          <w:sz w:val="20"/>
          <w:szCs w:val="20"/>
          <w:lang w:val="fr-FR" w:eastAsia="en-GB" w:bidi="ar-SA"/>
          <w14:ligatures w14:val="none"/>
        </w:rPr>
        <w:t xml:space="preserve"> le jour « t » jours après la Date d’Émission ;</w:t>
      </w:r>
    </w:p>
    <w:p w14:paraId="58B2A6B8" w14:textId="77777777" w:rsidR="00A82619" w:rsidRPr="00CA74B8" w:rsidRDefault="00A82619" w:rsidP="00A82619">
      <w:pPr>
        <w:spacing w:after="0" w:line="240" w:lineRule="auto"/>
        <w:jc w:val="both"/>
        <w:rPr>
          <w:rFonts w:ascii="Times New Roman" w:eastAsia="Calibri" w:hAnsi="Times New Roman" w:cs="Times New Roman"/>
          <w:kern w:val="0"/>
          <w:sz w:val="20"/>
          <w:szCs w:val="20"/>
          <w:lang w:val="fr-FR" w:eastAsia="en-GB" w:bidi="ar-SA"/>
          <w14:ligatures w14:val="none"/>
        </w:rPr>
      </w:pPr>
    </w:p>
    <w:p w14:paraId="22F53348" w14:textId="63F6841D"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r w:rsidRPr="00CA74B8">
        <w:rPr>
          <w:rFonts w:ascii="Times New Roman" w:eastAsia="Calibri" w:hAnsi="Times New Roman" w:cs="Times New Roman"/>
          <w:kern w:val="0"/>
          <w:sz w:val="20"/>
          <w:szCs w:val="20"/>
          <w:lang w:val="fr-FR" w:eastAsia="en-GB" w:bidi="ar-SA"/>
          <w14:ligatures w14:val="none"/>
        </w:rPr>
        <w:t>"</w:t>
      </w:r>
      <m:oMath>
        <m:sSub>
          <m:sSubPr>
            <m:ctrlPr>
              <w:rPr>
                <w:rFonts w:ascii="Cambria Math" w:eastAsia="Calibri" w:hAnsi="Cambria Math" w:cs="Times New Roman"/>
                <w:b/>
                <w:bCs/>
                <w:kern w:val="0"/>
                <w:sz w:val="20"/>
                <w:szCs w:val="20"/>
                <w:lang w:val="en-GB" w:eastAsia="en-GB" w:bidi="ar-SA"/>
                <w14:ligatures w14:val="none"/>
              </w:rPr>
            </m:ctrlPr>
          </m:sSubPr>
          <m:e>
            <m:r>
              <m:rPr>
                <m:sty m:val="bi"/>
              </m:rPr>
              <w:rPr>
                <w:rFonts w:ascii="Cambria Math" w:eastAsia="Calibri" w:hAnsi="Cambria Math" w:cs="Times New Roman"/>
                <w:kern w:val="0"/>
                <w:sz w:val="20"/>
                <w:szCs w:val="20"/>
                <w:lang w:val="en-GB" w:eastAsia="en-GB" w:bidi="ar-SA"/>
                <w14:ligatures w14:val="none"/>
              </w:rPr>
              <m:t>N</m:t>
            </m:r>
          </m:e>
          <m:sub>
            <m:d>
              <m:dPr>
                <m:ctrlPr>
                  <w:rPr>
                    <w:rFonts w:ascii="Cambria Math" w:eastAsia="Calibri" w:hAnsi="Cambria Math" w:cs="Times New Roman"/>
                    <w:b/>
                    <w:bCs/>
                    <w:kern w:val="0"/>
                    <w:sz w:val="20"/>
                    <w:szCs w:val="20"/>
                    <w:lang w:val="en-GB" w:eastAsia="en-GB" w:bidi="ar-SA"/>
                    <w14:ligatures w14:val="none"/>
                  </w:rPr>
                </m:ctrlPr>
              </m:dPr>
              <m:e>
                <m:r>
                  <m:rPr>
                    <m:sty m:val="bi"/>
                  </m:rPr>
                  <w:rPr>
                    <w:rFonts w:ascii="Cambria Math" w:eastAsia="Calibri" w:hAnsi="Cambria Math" w:cs="Times New Roman"/>
                    <w:kern w:val="0"/>
                    <w:sz w:val="20"/>
                    <w:szCs w:val="20"/>
                    <w:lang w:val="en-GB" w:eastAsia="en-GB" w:bidi="ar-SA"/>
                    <w14:ligatures w14:val="none"/>
                  </w:rPr>
                  <m:t>t</m:t>
                </m:r>
                <m:r>
                  <m:rPr>
                    <m:sty m:val="b"/>
                  </m:rPr>
                  <w:rPr>
                    <w:rFonts w:ascii="Cambria Math" w:eastAsia="Calibri" w:hAnsi="Cambria Math" w:cs="Times New Roman"/>
                    <w:kern w:val="0"/>
                    <w:sz w:val="20"/>
                    <w:szCs w:val="20"/>
                    <w:lang w:val="fr-FR" w:eastAsia="en-GB" w:bidi="ar-SA"/>
                    <w14:ligatures w14:val="none"/>
                  </w:rPr>
                  <m:t>-</m:t>
                </m:r>
                <m:r>
                  <m:rPr>
                    <m:sty m:val="b"/>
                  </m:rPr>
                  <w:rPr>
                    <w:rFonts w:ascii="Cambria Math" w:eastAsia="Calibri" w:hAnsi="Cambria Math" w:cs="Times New Roman"/>
                    <w:kern w:val="0"/>
                    <w:sz w:val="20"/>
                    <w:szCs w:val="20"/>
                    <w:lang w:val="en-GB" w:eastAsia="en-GB" w:bidi="ar-SA"/>
                    <w14:ligatures w14:val="none"/>
                  </w:rPr>
                  <m:t>1</m:t>
                </m:r>
              </m:e>
            </m:d>
          </m:sub>
        </m:sSub>
      </m:oMath>
      <w:r w:rsidRPr="00CA74B8">
        <w:rPr>
          <w:rFonts w:ascii="Times New Roman" w:eastAsia="Calibri" w:hAnsi="Times New Roman" w:cs="Times New Roman"/>
          <w:kern w:val="0"/>
          <w:sz w:val="20"/>
          <w:szCs w:val="20"/>
          <w:lang w:val="fr-FR" w:eastAsia="en-GB" w:bidi="ar-SA"/>
          <w14:ligatures w14:val="none"/>
        </w:rPr>
        <w:t>"</w:t>
      </w:r>
      <w:r w:rsidRPr="00CA74B8">
        <w:rPr>
          <w:rFonts w:ascii="Times New Roman" w:eastAsia="Calibri" w:hAnsi="Times New Roman" w:cs="Times New Roman"/>
          <w:b/>
          <w:bCs/>
          <w:kern w:val="0"/>
          <w:sz w:val="20"/>
          <w:szCs w:val="20"/>
          <w:lang w:val="fr-FR" w:eastAsia="en-GB" w:bidi="ar-SA"/>
          <w14:ligatures w14:val="none"/>
        </w:rPr>
        <w:t xml:space="preserve"> </w:t>
      </w:r>
      <w:r w:rsidR="00A82619" w:rsidRPr="00CA74B8">
        <w:rPr>
          <w:rFonts w:ascii="Times New Roman" w:eastAsia="Calibri" w:hAnsi="Times New Roman" w:cs="Times New Roman"/>
          <w:kern w:val="0"/>
          <w:sz w:val="20"/>
          <w:szCs w:val="20"/>
          <w:lang w:val="fr-FR" w:eastAsia="en-GB" w:bidi="ar-SA"/>
          <w14:ligatures w14:val="none"/>
        </w:rPr>
        <w:t>signifie le nombre d'obligations en circulation à la fin du jour précédent le jour « t » jours après la Date d’Émission ;</w:t>
      </w:r>
    </w:p>
    <w:p w14:paraId="33BD083B" w14:textId="77777777"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p>
    <w:p w14:paraId="75F18650" w14:textId="70BE9ACF"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r w:rsidRPr="00CA74B8">
        <w:rPr>
          <w:rFonts w:ascii="Times New Roman" w:eastAsia="Calibri" w:hAnsi="Times New Roman" w:cs="Times New Roman"/>
          <w:kern w:val="0"/>
          <w:sz w:val="20"/>
          <w:szCs w:val="20"/>
          <w:lang w:val="fr-FR" w:eastAsia="en-GB" w:bidi="ar-SA"/>
          <w14:ligatures w14:val="none"/>
        </w:rPr>
        <w:t>"</w:t>
      </w:r>
      <m:oMath>
        <m:r>
          <m:rPr>
            <m:sty m:val="bi"/>
          </m:rPr>
          <w:rPr>
            <w:rFonts w:ascii="Cambria Math" w:eastAsia="Calibri" w:hAnsi="Cambria Math" w:cs="Times New Roman"/>
            <w:kern w:val="0"/>
            <w:sz w:val="20"/>
            <w:szCs w:val="20"/>
            <w:lang w:val="en-GB" w:eastAsia="en-GB" w:bidi="ar-SA"/>
            <w14:ligatures w14:val="none"/>
          </w:rPr>
          <m:t>DER</m:t>
        </m:r>
      </m:oMath>
      <w:r w:rsidRPr="00CA74B8">
        <w:rPr>
          <w:rFonts w:ascii="Times New Roman" w:eastAsia="Calibri" w:hAnsi="Times New Roman" w:cs="Times New Roman"/>
          <w:kern w:val="0"/>
          <w:sz w:val="20"/>
          <w:szCs w:val="20"/>
          <w:lang w:val="fr-FR" w:eastAsia="en-GB" w:bidi="ar-SA"/>
          <w14:ligatures w14:val="none"/>
        </w:rPr>
        <w:t xml:space="preserve">" </w:t>
      </w:r>
      <w:r w:rsidR="00A82619" w:rsidRPr="00CA74B8">
        <w:rPr>
          <w:rFonts w:ascii="Times New Roman" w:eastAsia="Calibri" w:hAnsi="Times New Roman" w:cs="Times New Roman"/>
          <w:kern w:val="0"/>
          <w:sz w:val="20"/>
          <w:szCs w:val="20"/>
          <w:lang w:val="fr-FR" w:eastAsia="en-GB" w:bidi="ar-SA"/>
          <w14:ligatures w14:val="none"/>
        </w:rPr>
        <w:t>signifie le Taux de Diminution du Droit d’Attribution. Le Taux de Diminution du Droit d’Attribution représente les frais de gestion exprimés sous forme de taux auquel le Droit d’Attribution de la Crypto-monnaie unique diminue au fil du temps ; et</w:t>
      </w:r>
    </w:p>
    <w:p w14:paraId="4DBAA4D2" w14:textId="77777777"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p>
    <w:p w14:paraId="0C51EC93" w14:textId="1775DB7C" w:rsidR="008C1A14" w:rsidRPr="00CA74B8" w:rsidRDefault="008C1A14" w:rsidP="008C1A14">
      <w:pPr>
        <w:spacing w:after="0" w:line="240" w:lineRule="auto"/>
        <w:jc w:val="both"/>
        <w:rPr>
          <w:rFonts w:ascii="Times New Roman" w:eastAsia="Calibri" w:hAnsi="Times New Roman" w:cs="Times New Roman"/>
          <w:kern w:val="0"/>
          <w:sz w:val="20"/>
          <w:szCs w:val="20"/>
          <w:lang w:val="fr-FR" w:eastAsia="en-GB" w:bidi="ar-SA"/>
          <w14:ligatures w14:val="none"/>
        </w:rPr>
      </w:pPr>
      <w:r w:rsidRPr="00CA74B8">
        <w:rPr>
          <w:rFonts w:ascii="Times New Roman" w:eastAsia="Calibri" w:hAnsi="Times New Roman" w:cs="Times New Roman"/>
          <w:kern w:val="0"/>
          <w:sz w:val="20"/>
          <w:szCs w:val="20"/>
          <w:lang w:val="fr-FR" w:eastAsia="en-GB" w:bidi="ar-SA"/>
          <w14:ligatures w14:val="none"/>
        </w:rPr>
        <w:t>"</w:t>
      </w:r>
      <m:oMath>
        <m:sSubSup>
          <m:sSubSupPr>
            <m:ctrlPr>
              <w:rPr>
                <w:rFonts w:ascii="Cambria Math" w:eastAsia="Calibri" w:hAnsi="Cambria Math" w:cs="Times New Roman"/>
                <w:b/>
                <w:bCs/>
                <w:i/>
                <w:iCs/>
                <w:kern w:val="0"/>
                <w:sz w:val="20"/>
                <w:szCs w:val="20"/>
                <w:lang w:val="en-GB" w:eastAsia="en-GB" w:bidi="ar-SA"/>
                <w14:ligatures w14:val="none"/>
              </w:rPr>
            </m:ctrlPr>
          </m:sSubSupPr>
          <m:e>
            <m:r>
              <m:rPr>
                <m:sty m:val="bi"/>
              </m:rPr>
              <w:rPr>
                <w:rFonts w:ascii="Cambria Math" w:eastAsia="Calibri" w:hAnsi="Cambria Math" w:cs="Times New Roman"/>
                <w:kern w:val="0"/>
                <w:sz w:val="20"/>
                <w:szCs w:val="20"/>
                <w:lang w:val="en-GB" w:eastAsia="en-GB" w:bidi="ar-SA"/>
                <w14:ligatures w14:val="none"/>
              </w:rPr>
              <m:t>DSC</m:t>
            </m:r>
          </m:e>
          <m:sub>
            <m:r>
              <m:rPr>
                <m:sty m:val="bi"/>
              </m:rPr>
              <w:rPr>
                <w:rFonts w:ascii="Cambria Math" w:eastAsia="Calibri" w:hAnsi="Cambria Math" w:cs="Times New Roman"/>
                <w:kern w:val="0"/>
                <w:sz w:val="20"/>
                <w:szCs w:val="20"/>
                <w:lang w:val="fr-FR" w:eastAsia="en-GB" w:bidi="ar-SA"/>
                <w14:ligatures w14:val="none"/>
              </w:rPr>
              <m:t>(</m:t>
            </m:r>
            <m:r>
              <m:rPr>
                <m:sty m:val="bi"/>
              </m:rPr>
              <w:rPr>
                <w:rFonts w:ascii="Cambria Math" w:eastAsia="Calibri" w:hAnsi="Cambria Math" w:cs="Times New Roman"/>
                <w:kern w:val="0"/>
                <w:sz w:val="20"/>
                <w:szCs w:val="20"/>
                <w:lang w:val="en-GB" w:eastAsia="en-GB" w:bidi="ar-SA"/>
                <w14:ligatures w14:val="none"/>
              </w:rPr>
              <m:t>t</m:t>
            </m:r>
            <m:r>
              <m:rPr>
                <m:sty m:val="bi"/>
              </m:rPr>
              <w:rPr>
                <w:rFonts w:ascii="Cambria Math" w:eastAsia="Calibri" w:hAnsi="Cambria Math" w:cs="Times New Roman"/>
                <w:kern w:val="0"/>
                <w:sz w:val="20"/>
                <w:szCs w:val="20"/>
                <w:lang w:val="fr-FR" w:eastAsia="en-GB" w:bidi="ar-SA"/>
                <w14:ligatures w14:val="none"/>
              </w:rPr>
              <m:t>)</m:t>
            </m:r>
          </m:sub>
          <m:sup>
            <m:r>
              <m:rPr>
                <m:sty m:val="bi"/>
              </m:rPr>
              <w:rPr>
                <w:rFonts w:ascii="Cambria Math" w:eastAsia="Calibri" w:hAnsi="Cambria Math" w:cs="Times New Roman"/>
                <w:kern w:val="0"/>
                <w:sz w:val="20"/>
                <w:szCs w:val="20"/>
                <w:lang w:val="en-GB" w:eastAsia="en-GB" w:bidi="ar-SA"/>
                <w14:ligatures w14:val="none"/>
              </w:rPr>
              <m:t>i</m:t>
            </m:r>
          </m:sup>
        </m:sSubSup>
      </m:oMath>
      <w:r w:rsidRPr="00CA74B8">
        <w:rPr>
          <w:rFonts w:ascii="Times New Roman" w:eastAsia="Calibri" w:hAnsi="Times New Roman" w:cs="Times New Roman"/>
          <w:kern w:val="0"/>
          <w:sz w:val="20"/>
          <w:szCs w:val="20"/>
          <w:lang w:val="fr-FR" w:eastAsia="en-GB" w:bidi="ar-SA"/>
          <w14:ligatures w14:val="none"/>
        </w:rPr>
        <w:t xml:space="preserve">" </w:t>
      </w:r>
      <w:r w:rsidR="00A82619" w:rsidRPr="00CA74B8">
        <w:rPr>
          <w:rFonts w:ascii="Times New Roman" w:eastAsia="Calibri" w:hAnsi="Times New Roman" w:cs="Times New Roman"/>
          <w:kern w:val="0"/>
          <w:sz w:val="20"/>
          <w:szCs w:val="20"/>
          <w:lang w:val="fr-FR" w:eastAsia="en-GB" w:bidi="ar-SA"/>
          <w14:ligatures w14:val="none"/>
        </w:rPr>
        <w:t xml:space="preserve">signifie les frais appliqués aux récompenses de </w:t>
      </w:r>
      <w:proofErr w:type="spellStart"/>
      <w:r w:rsidR="00A82619" w:rsidRPr="00CA74B8">
        <w:rPr>
          <w:rFonts w:ascii="Times New Roman" w:eastAsia="Calibri" w:hAnsi="Times New Roman" w:cs="Times New Roman"/>
          <w:kern w:val="0"/>
          <w:sz w:val="20"/>
          <w:szCs w:val="20"/>
          <w:lang w:val="fr-FR" w:eastAsia="en-GB" w:bidi="ar-SA"/>
          <w14:ligatures w14:val="none"/>
        </w:rPr>
        <w:t>staking</w:t>
      </w:r>
      <w:proofErr w:type="spellEnd"/>
      <w:r w:rsidR="00A82619" w:rsidRPr="00CA74B8">
        <w:rPr>
          <w:rFonts w:ascii="Times New Roman" w:eastAsia="Calibri" w:hAnsi="Times New Roman" w:cs="Times New Roman"/>
          <w:kern w:val="0"/>
          <w:sz w:val="20"/>
          <w:szCs w:val="20"/>
          <w:lang w:val="fr-FR" w:eastAsia="en-GB" w:bidi="ar-SA"/>
          <w14:ligatures w14:val="none"/>
        </w:rPr>
        <w:t xml:space="preserve"> concernant la Crypto-monnaie particulière incluse dans le panier (désignée par « i »).</w:t>
      </w:r>
    </w:p>
    <w:p w14:paraId="4FD65CBD" w14:textId="77777777" w:rsidR="00A82619" w:rsidRPr="00CA74B8" w:rsidRDefault="00A82619" w:rsidP="008C1A14">
      <w:pPr>
        <w:spacing w:after="0" w:line="240" w:lineRule="auto"/>
        <w:jc w:val="both"/>
        <w:rPr>
          <w:rFonts w:ascii="Times New Roman" w:eastAsia="Calibri" w:hAnsi="Times New Roman" w:cs="Times New Roman"/>
          <w:kern w:val="0"/>
          <w:sz w:val="20"/>
          <w:szCs w:val="20"/>
          <w:lang w:val="fr-FR" w:eastAsia="en-GB" w:bidi="ar-SA"/>
          <w14:ligatures w14:val="none"/>
        </w:rPr>
      </w:pPr>
    </w:p>
    <w:p w14:paraId="22ABC36D" w14:textId="77777777" w:rsidR="00A82619" w:rsidRPr="00CA74B8" w:rsidRDefault="00A82619" w:rsidP="00A82619">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Le prix d’émission pour les investisseurs qui ne sont pas des Participants Autorisés sera déterminé sur une base continue.</w:t>
      </w:r>
    </w:p>
    <w:p w14:paraId="2A923B47" w14:textId="580D5DFB" w:rsidR="00A82619" w:rsidRPr="00CA74B8" w:rsidRDefault="00A82619" w:rsidP="00A82619">
      <w:pPr>
        <w:spacing w:after="6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À la date d’émission, le Droit d’Attribution de Crypto-monnaie serait de 0,002 ETH par Obligation, c’est-à-dire que les Participants Autorisés qui achètent des Obligations de l’Émetteur reçoivent une Obligation pour chaque 0,002 ETH. En outre, l’Émetteur facturera des frais de souscription pouvant atteindre 0,50 % de 0,002 ETH au Participant Autorisé. Lorsqu’un investisseur achète une Obligation auprès d’un Participant Autorisé avec des </w:t>
      </w:r>
      <w:r w:rsidRPr="00B5596E">
        <w:rPr>
          <w:rFonts w:ascii="Times New Roman" w:eastAsia="MS Mincho" w:hAnsi="Times New Roman" w:cs="Times New Roman"/>
          <w:kern w:val="0"/>
          <w:sz w:val="20"/>
          <w:szCs w:val="20"/>
          <w:lang w:val="fr-FR" w:bidi="ar-SA"/>
          <w14:ligatures w14:val="none"/>
        </w:rPr>
        <w:t>euros</w:t>
      </w:r>
      <w:r w:rsidRPr="00CA74B8">
        <w:rPr>
          <w:rFonts w:ascii="Times New Roman" w:eastAsia="MS Mincho" w:hAnsi="Times New Roman" w:cs="Times New Roman"/>
          <w:kern w:val="0"/>
          <w:sz w:val="20"/>
          <w:szCs w:val="20"/>
          <w:lang w:val="fr-FR" w:bidi="ar-SA"/>
          <w14:ligatures w14:val="none"/>
        </w:rPr>
        <w:t xml:space="preserve">, l’équivalent en </w:t>
      </w:r>
      <w:r w:rsidRPr="00B5596E">
        <w:rPr>
          <w:rFonts w:ascii="Times New Roman" w:eastAsia="MS Mincho" w:hAnsi="Times New Roman" w:cs="Times New Roman"/>
          <w:kern w:val="0"/>
          <w:sz w:val="20"/>
          <w:szCs w:val="20"/>
          <w:lang w:val="fr-FR" w:bidi="ar-SA"/>
          <w14:ligatures w14:val="none"/>
        </w:rPr>
        <w:t>euros</w:t>
      </w:r>
      <w:r w:rsidRPr="00CA74B8">
        <w:rPr>
          <w:rFonts w:ascii="Times New Roman" w:eastAsia="MS Mincho" w:hAnsi="Times New Roman" w:cs="Times New Roman"/>
          <w:kern w:val="0"/>
          <w:sz w:val="20"/>
          <w:szCs w:val="20"/>
          <w:lang w:val="fr-FR" w:bidi="ar-SA"/>
          <w14:ligatures w14:val="none"/>
        </w:rPr>
        <w:t xml:space="preserve"> du Droit d’Attribution de Crypto-monnaie au </w:t>
      </w:r>
      <w:r w:rsidR="007A0638" w:rsidRPr="00CA74B8">
        <w:rPr>
          <w:rFonts w:ascii="Times New Roman" w:eastAsia="MS Mincho" w:hAnsi="Times New Roman" w:cs="Times New Roman"/>
          <w:kern w:val="0"/>
          <w:sz w:val="20"/>
          <w:szCs w:val="20"/>
          <w:lang w:val="fr-FR" w:bidi="ar-SA"/>
          <w14:ligatures w14:val="none"/>
        </w:rPr>
        <w:t xml:space="preserve">16 </w:t>
      </w:r>
      <w:r w:rsidR="007A0638" w:rsidRPr="00CA74B8">
        <w:rPr>
          <w:rFonts w:ascii="Times New Roman" w:eastAsia="MS Mincho" w:hAnsi="Times New Roman" w:cs="Times New Roman"/>
          <w:bCs/>
          <w:kern w:val="0"/>
          <w:sz w:val="20"/>
          <w:szCs w:val="20"/>
          <w:lang w:val="fr-FR" w:bidi="ar-SA"/>
          <w14:ligatures w14:val="none"/>
        </w:rPr>
        <w:t>janvier</w:t>
      </w:r>
      <w:r w:rsidR="007A0638" w:rsidRPr="00B5596E">
        <w:rPr>
          <w:rFonts w:ascii="Times New Roman" w:eastAsia="MS Mincho" w:hAnsi="Times New Roman" w:cs="Times New Roman"/>
          <w:kern w:val="0"/>
          <w:sz w:val="20"/>
          <w:szCs w:val="20"/>
          <w:lang w:val="fr-FR" w:bidi="ar-SA"/>
          <w14:ligatures w14:val="none"/>
        </w:rPr>
        <w:t xml:space="preserve"> 2024</w:t>
      </w:r>
      <w:r w:rsidRPr="00CA74B8">
        <w:rPr>
          <w:rFonts w:ascii="Times New Roman" w:eastAsia="MS Mincho" w:hAnsi="Times New Roman" w:cs="Times New Roman"/>
          <w:kern w:val="0"/>
          <w:sz w:val="20"/>
          <w:szCs w:val="20"/>
          <w:lang w:val="fr-FR" w:bidi="ar-SA"/>
          <w14:ligatures w14:val="none"/>
        </w:rPr>
        <w:t xml:space="preserve">, basé sur une valeur de ETH </w:t>
      </w:r>
      <w:proofErr w:type="gramStart"/>
      <w:r w:rsidRPr="00CA74B8">
        <w:rPr>
          <w:rFonts w:ascii="Times New Roman" w:eastAsia="MS Mincho" w:hAnsi="Times New Roman" w:cs="Times New Roman"/>
          <w:kern w:val="0"/>
          <w:sz w:val="20"/>
          <w:szCs w:val="20"/>
          <w:lang w:val="fr-FR" w:bidi="ar-SA"/>
          <w14:ligatures w14:val="none"/>
        </w:rPr>
        <w:t xml:space="preserve">de </w:t>
      </w:r>
      <w:r w:rsidRPr="00B5596E">
        <w:rPr>
          <w:rFonts w:ascii="Times New Roman" w:eastAsia="MS Mincho" w:hAnsi="Times New Roman" w:cs="Times New Roman"/>
          <w:kern w:val="0"/>
          <w:sz w:val="20"/>
          <w:szCs w:val="20"/>
          <w:lang w:val="fr-FR" w:bidi="ar-SA"/>
          <w14:ligatures w14:val="none"/>
        </w:rPr>
        <w:t>Euro</w:t>
      </w:r>
      <w:proofErr w:type="gramEnd"/>
      <w:r w:rsidRPr="00CA74B8">
        <w:rPr>
          <w:rFonts w:ascii="Times New Roman" w:eastAsia="MS Mincho" w:hAnsi="Times New Roman" w:cs="Times New Roman"/>
          <w:kern w:val="0"/>
          <w:sz w:val="20"/>
          <w:szCs w:val="20"/>
          <w:lang w:val="fr-FR" w:bidi="ar-SA"/>
          <w14:ligatures w14:val="none"/>
        </w:rPr>
        <w:t xml:space="preserve"> </w:t>
      </w:r>
      <w:r w:rsidR="007A0638" w:rsidRPr="00CA74B8">
        <w:rPr>
          <w:rFonts w:ascii="Times New Roman" w:eastAsia="MS Mincho" w:hAnsi="Times New Roman" w:cs="Times New Roman"/>
          <w:kern w:val="0"/>
          <w:sz w:val="20"/>
          <w:szCs w:val="20"/>
          <w:lang w:val="fr-FR" w:bidi="ar-SA"/>
          <w14:ligatures w14:val="none"/>
        </w:rPr>
        <w:t>2,351.11</w:t>
      </w:r>
      <w:r w:rsidRPr="00CA74B8">
        <w:rPr>
          <w:rFonts w:ascii="Times New Roman" w:eastAsia="MS Mincho" w:hAnsi="Times New Roman" w:cs="Times New Roman"/>
          <w:kern w:val="0"/>
          <w:sz w:val="20"/>
          <w:szCs w:val="20"/>
          <w:lang w:val="fr-FR" w:bidi="ar-SA"/>
          <w14:ligatures w14:val="none"/>
        </w:rPr>
        <w:t xml:space="preserve">, serait de </w:t>
      </w:r>
      <w:r w:rsidRPr="00B5596E">
        <w:rPr>
          <w:rFonts w:ascii="Times New Roman" w:eastAsia="MS Mincho" w:hAnsi="Times New Roman" w:cs="Times New Roman"/>
          <w:kern w:val="0"/>
          <w:sz w:val="20"/>
          <w:szCs w:val="20"/>
          <w:lang w:val="fr-FR" w:bidi="ar-SA"/>
          <w14:ligatures w14:val="none"/>
        </w:rPr>
        <w:t>Euro</w:t>
      </w:r>
      <w:r w:rsidRPr="00CA74B8">
        <w:rPr>
          <w:rFonts w:ascii="Times New Roman" w:eastAsia="MS Mincho" w:hAnsi="Times New Roman" w:cs="Times New Roman"/>
          <w:kern w:val="0"/>
          <w:sz w:val="20"/>
          <w:szCs w:val="20"/>
          <w:lang w:val="fr-FR" w:bidi="ar-SA"/>
          <w14:ligatures w14:val="none"/>
        </w:rPr>
        <w:t xml:space="preserve"> </w:t>
      </w:r>
      <w:r w:rsidR="007A0638" w:rsidRPr="00CA74B8">
        <w:rPr>
          <w:rFonts w:ascii="Times New Roman" w:eastAsia="MS Mincho" w:hAnsi="Times New Roman" w:cs="Times New Roman"/>
          <w:kern w:val="0"/>
          <w:sz w:val="20"/>
          <w:szCs w:val="20"/>
          <w:lang w:val="fr-FR" w:bidi="ar-SA"/>
          <w14:ligatures w14:val="none"/>
        </w:rPr>
        <w:t>4.70</w:t>
      </w:r>
      <w:r w:rsidRPr="00CA74B8">
        <w:rPr>
          <w:rFonts w:ascii="Times New Roman" w:eastAsia="MS Mincho" w:hAnsi="Times New Roman" w:cs="Times New Roman"/>
          <w:kern w:val="0"/>
          <w:sz w:val="20"/>
          <w:szCs w:val="20"/>
          <w:lang w:val="fr-FR" w:bidi="ar-SA"/>
          <w14:ligatures w14:val="none"/>
        </w:rPr>
        <w:t xml:space="preserve">. Toutefois, étant donné que chaque Participant Autorisé peut facturer une commission de souscription à l’investisseur à qui il vend ses Obligations à sa discrétion, le prix d’achat d’une obligation peut être supérieur à </w:t>
      </w:r>
      <w:r w:rsidRPr="00B5596E">
        <w:rPr>
          <w:rFonts w:ascii="Times New Roman" w:eastAsia="MS Mincho" w:hAnsi="Times New Roman" w:cs="Times New Roman"/>
          <w:kern w:val="0"/>
          <w:sz w:val="20"/>
          <w:szCs w:val="20"/>
          <w:lang w:val="fr-FR" w:bidi="ar-SA"/>
          <w14:ligatures w14:val="none"/>
        </w:rPr>
        <w:t>Euro</w:t>
      </w:r>
      <w:r w:rsidRPr="00CA74B8">
        <w:rPr>
          <w:rFonts w:ascii="Times New Roman" w:eastAsia="MS Mincho" w:hAnsi="Times New Roman" w:cs="Times New Roman"/>
          <w:kern w:val="0"/>
          <w:sz w:val="20"/>
          <w:szCs w:val="20"/>
          <w:lang w:val="fr-FR" w:bidi="ar-SA"/>
          <w14:ligatures w14:val="none"/>
        </w:rPr>
        <w:t xml:space="preserve"> </w:t>
      </w:r>
      <w:r w:rsidR="007A0638" w:rsidRPr="00CA74B8">
        <w:rPr>
          <w:rFonts w:ascii="Times New Roman" w:eastAsia="MS Mincho" w:hAnsi="Times New Roman" w:cs="Times New Roman"/>
          <w:kern w:val="0"/>
          <w:sz w:val="20"/>
          <w:szCs w:val="20"/>
          <w:lang w:val="fr-FR" w:bidi="ar-SA"/>
          <w14:ligatures w14:val="none"/>
        </w:rPr>
        <w:t>4.70</w:t>
      </w:r>
      <w:r w:rsidRPr="00CA74B8">
        <w:rPr>
          <w:rFonts w:ascii="Times New Roman" w:eastAsia="MS Mincho" w:hAnsi="Times New Roman" w:cs="Times New Roman"/>
          <w:kern w:val="0"/>
          <w:sz w:val="20"/>
          <w:szCs w:val="20"/>
          <w:lang w:val="fr-FR" w:bidi="ar-SA"/>
          <w14:ligatures w14:val="none"/>
        </w:rPr>
        <w:t>.</w:t>
      </w:r>
    </w:p>
    <w:p w14:paraId="4C561A35" w14:textId="1997D722" w:rsidR="00A82619" w:rsidRPr="00CA74B8" w:rsidRDefault="00A82619"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b/>
          <w:bCs/>
          <w:i/>
          <w:iCs/>
          <w:kern w:val="0"/>
          <w:sz w:val="20"/>
          <w:szCs w:val="20"/>
          <w:lang w:val="fr-FR" w:bidi="ar-SA"/>
          <w14:ligatures w14:val="none"/>
        </w:rPr>
        <w:t>Frais :</w:t>
      </w:r>
      <w:r w:rsidRPr="00CA74B8">
        <w:rPr>
          <w:rFonts w:ascii="Times New Roman" w:eastAsia="MS Mincho" w:hAnsi="Times New Roman" w:cs="Times New Roman"/>
          <w:kern w:val="0"/>
          <w:sz w:val="20"/>
          <w:szCs w:val="20"/>
          <w:lang w:val="fr-FR" w:bidi="ar-SA"/>
          <w14:ligatures w14:val="none"/>
        </w:rPr>
        <w:t xml:space="preserve"> Les frais totaux de l’émission et/ou de l’offre sont estimés à </w:t>
      </w:r>
      <w:r w:rsidRPr="00B5596E">
        <w:rPr>
          <w:rFonts w:ascii="Times New Roman" w:eastAsia="MS Mincho" w:hAnsi="Times New Roman" w:cs="Times New Roman"/>
          <w:kern w:val="0"/>
          <w:sz w:val="20"/>
          <w:szCs w:val="20"/>
          <w:lang w:val="fr-FR" w:bidi="ar-SA"/>
          <w14:ligatures w14:val="none"/>
        </w:rPr>
        <w:t>35 500 euros</w:t>
      </w:r>
      <w:r w:rsidRPr="00CA74B8">
        <w:rPr>
          <w:rFonts w:ascii="Times New Roman" w:eastAsia="MS Mincho" w:hAnsi="Times New Roman" w:cs="Times New Roman"/>
          <w:kern w:val="0"/>
          <w:sz w:val="20"/>
          <w:szCs w:val="20"/>
          <w:lang w:val="fr-FR" w:bidi="ar-SA"/>
          <w14:ligatures w14:val="none"/>
        </w:rPr>
        <w:t xml:space="preserve">. L’Émetteur prélèvera une commission de souscription pouvant aller jusqu’à 0,50 % du Droit d’Attribution de Crypto-monnaie des Obligations aux Participants Autorisés. L’Émetteur </w:t>
      </w:r>
      <w:proofErr w:type="gramStart"/>
      <w:r w:rsidRPr="00CA74B8">
        <w:rPr>
          <w:rFonts w:ascii="Times New Roman" w:eastAsia="MS Mincho" w:hAnsi="Times New Roman" w:cs="Times New Roman"/>
          <w:kern w:val="0"/>
          <w:sz w:val="20"/>
          <w:szCs w:val="20"/>
          <w:lang w:val="fr-FR" w:bidi="ar-SA"/>
          <w14:ligatures w14:val="none"/>
        </w:rPr>
        <w:t>n’a</w:t>
      </w:r>
      <w:proofErr w:type="gramEnd"/>
      <w:r w:rsidRPr="00CA74B8">
        <w:rPr>
          <w:rFonts w:ascii="Times New Roman" w:eastAsia="MS Mincho" w:hAnsi="Times New Roman" w:cs="Times New Roman"/>
          <w:kern w:val="0"/>
          <w:sz w:val="20"/>
          <w:szCs w:val="20"/>
          <w:lang w:val="fr-FR" w:bidi="ar-SA"/>
          <w14:ligatures w14:val="none"/>
        </w:rPr>
        <w:t xml:space="preserve"> aucune influence sur les frais supplémentaires facturés par les Participants Autorisés. Ces frais peuvent varier en fonction de l’activité du Participant Autorisé.</w:t>
      </w:r>
    </w:p>
    <w:p w14:paraId="07F6B783" w14:textId="2D5C2C74" w:rsidR="008C1A14" w:rsidRPr="00CA74B8" w:rsidRDefault="00A82619" w:rsidP="008C1A14">
      <w:pPr>
        <w:keepNext/>
        <w:keepLines/>
        <w:numPr>
          <w:ilvl w:val="2"/>
          <w:numId w:val="1"/>
        </w:numPr>
        <w:tabs>
          <w:tab w:val="num" w:pos="720"/>
        </w:tabs>
        <w:spacing w:after="60" w:line="240" w:lineRule="auto"/>
        <w:ind w:left="720"/>
        <w:jc w:val="both"/>
        <w:outlineLvl w:val="2"/>
        <w:rPr>
          <w:rFonts w:ascii="Times New Roman" w:eastAsia="Times New Roman" w:hAnsi="Times New Roman" w:cs="Times New Roman"/>
          <w:b/>
          <w:bCs/>
          <w:color w:val="000000"/>
          <w:kern w:val="0"/>
          <w:sz w:val="20"/>
          <w:szCs w:val="20"/>
          <w:lang w:val="fr-FR" w:bidi="ar-SA"/>
          <w14:ligatures w14:val="none"/>
        </w:rPr>
      </w:pPr>
      <w:r w:rsidRPr="00CA74B8">
        <w:rPr>
          <w:rFonts w:ascii="Times New Roman" w:eastAsia="Times New Roman" w:hAnsi="Times New Roman" w:cs="Times New Roman"/>
          <w:b/>
          <w:bCs/>
          <w:color w:val="000000"/>
          <w:kern w:val="0"/>
          <w:sz w:val="20"/>
          <w:szCs w:val="20"/>
          <w:lang w:val="fr-FR" w:bidi="ar-SA"/>
          <w14:ligatures w14:val="none"/>
        </w:rPr>
        <w:t>Pourquoi ce prospectus de base est-il produit ?</w:t>
      </w:r>
    </w:p>
    <w:p w14:paraId="33705480" w14:textId="24142D08" w:rsidR="008C1A14" w:rsidRPr="00CA74B8" w:rsidRDefault="00A82619"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L’Émetteur a l’intention de réaliser des bénéfices avec l’émission des Obligations. L’Émetteur réalise des bénéfices en prélevant des frais de souscription, certains frais de remboursement et au moyen du DER.</w:t>
      </w:r>
    </w:p>
    <w:p w14:paraId="776689CA" w14:textId="3E4F62A2" w:rsidR="008C1A14" w:rsidRPr="00CA74B8" w:rsidRDefault="00A82619" w:rsidP="008C1A1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fr-FR" w:bidi="ar-SA"/>
          <w14:ligatures w14:val="none"/>
        </w:rPr>
      </w:pPr>
      <w:bookmarkStart w:id="0" w:name="_Hlk152927106"/>
      <w:r w:rsidRPr="00CA74B8">
        <w:rPr>
          <w:rFonts w:ascii="Times New Roman" w:eastAsia="Times New Roman" w:hAnsi="Times New Roman" w:cs="Times New Roman"/>
          <w:b/>
          <w:bCs/>
          <w:iCs/>
          <w:color w:val="000000"/>
          <w:kern w:val="0"/>
          <w:sz w:val="20"/>
          <w:szCs w:val="20"/>
          <w:lang w:val="fr-FR" w:bidi="ar-SA"/>
          <w14:ligatures w14:val="none"/>
        </w:rPr>
        <w:lastRenderedPageBreak/>
        <w:t>Utilisation et estimation du montant net estimé des produits d’émission</w:t>
      </w:r>
    </w:p>
    <w:p w14:paraId="33C0FBAD" w14:textId="38D88BAF" w:rsidR="008C1A14" w:rsidRPr="00CA74B8" w:rsidRDefault="00A82619" w:rsidP="008C1A14">
      <w:pPr>
        <w:spacing w:after="180" w:line="240" w:lineRule="auto"/>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 xml:space="preserve">Les Obligations sont achetées auprès de l’Émetteur avec de la Crypto-monnaie. La Crypto-monnaie reçue par l’Émetteur par l’intermédiaire de la souscription des Obligations sera transférée sur le Portefeuille du Dépositaire et garantie au profit des Obligataires, du Security Trustee et d’un représentant des Obligataires (s’il est nommé). En supposant qu’un total de 3 200 000 000 d’unités d’Obligations soient vendues, et en se basant sur la valeur des ETH de </w:t>
      </w:r>
      <w:r w:rsidRPr="00B5596E">
        <w:rPr>
          <w:rFonts w:ascii="Times New Roman" w:eastAsia="MS Mincho" w:hAnsi="Times New Roman" w:cs="Times New Roman"/>
          <w:kern w:val="0"/>
          <w:sz w:val="20"/>
          <w:szCs w:val="20"/>
          <w:lang w:val="fr-FR" w:bidi="ar-SA"/>
          <w14:ligatures w14:val="none"/>
        </w:rPr>
        <w:t>EUR</w:t>
      </w:r>
      <w:r w:rsidRPr="00CA74B8">
        <w:rPr>
          <w:rFonts w:ascii="Times New Roman" w:eastAsia="MS Mincho" w:hAnsi="Times New Roman" w:cs="Times New Roman"/>
          <w:kern w:val="0"/>
          <w:sz w:val="20"/>
          <w:szCs w:val="20"/>
          <w:lang w:val="fr-FR" w:bidi="ar-SA"/>
          <w14:ligatures w14:val="none"/>
        </w:rPr>
        <w:t xml:space="preserve"> </w:t>
      </w:r>
      <w:r w:rsidR="00B35FB3" w:rsidRPr="00CA74B8">
        <w:rPr>
          <w:rFonts w:ascii="Times New Roman" w:eastAsia="MS Mincho" w:hAnsi="Times New Roman" w:cs="Times New Roman"/>
          <w:kern w:val="0"/>
          <w:sz w:val="20"/>
          <w:szCs w:val="20"/>
          <w:lang w:val="fr-FR" w:bidi="ar-SA"/>
          <w14:ligatures w14:val="none"/>
        </w:rPr>
        <w:t>2,351.11</w:t>
      </w:r>
      <w:r w:rsidRPr="00CA74B8">
        <w:rPr>
          <w:rFonts w:ascii="Times New Roman" w:eastAsia="MS Mincho" w:hAnsi="Times New Roman" w:cs="Times New Roman"/>
          <w:kern w:val="0"/>
          <w:sz w:val="20"/>
          <w:szCs w:val="20"/>
          <w:lang w:val="fr-FR" w:bidi="ar-SA"/>
          <w14:ligatures w14:val="none"/>
        </w:rPr>
        <w:t xml:space="preserve"> (au </w:t>
      </w:r>
      <w:r w:rsidR="00B35FB3" w:rsidRPr="00CA74B8">
        <w:rPr>
          <w:rFonts w:ascii="Times New Roman" w:eastAsia="MS Mincho" w:hAnsi="Times New Roman" w:cs="Times New Roman"/>
          <w:kern w:val="0"/>
          <w:sz w:val="20"/>
          <w:szCs w:val="20"/>
          <w:lang w:val="fr-FR" w:bidi="ar-SA"/>
          <w14:ligatures w14:val="none"/>
        </w:rPr>
        <w:t xml:space="preserve">16 </w:t>
      </w:r>
      <w:r w:rsidR="00B35FB3" w:rsidRPr="00CA74B8">
        <w:rPr>
          <w:rFonts w:ascii="Times New Roman" w:eastAsia="MS Mincho" w:hAnsi="Times New Roman" w:cs="Times New Roman"/>
          <w:bCs/>
          <w:kern w:val="0"/>
          <w:sz w:val="20"/>
          <w:szCs w:val="20"/>
          <w:lang w:val="fr-FR" w:bidi="ar-SA"/>
          <w14:ligatures w14:val="none"/>
        </w:rPr>
        <w:t>janvier</w:t>
      </w:r>
      <w:r w:rsidR="00B35FB3" w:rsidRPr="00CA74B8">
        <w:rPr>
          <w:rFonts w:ascii="Times New Roman" w:eastAsia="MS Mincho" w:hAnsi="Times New Roman" w:cs="Times New Roman"/>
          <w:kern w:val="0"/>
          <w:sz w:val="20"/>
          <w:szCs w:val="20"/>
          <w:lang w:val="fr-FR" w:bidi="ar-SA"/>
          <w14:ligatures w14:val="none"/>
        </w:rPr>
        <w:t xml:space="preserve"> </w:t>
      </w:r>
      <w:r w:rsidRPr="00CA74B8">
        <w:rPr>
          <w:rFonts w:ascii="Times New Roman" w:eastAsia="MS Mincho" w:hAnsi="Times New Roman" w:cs="Times New Roman"/>
          <w:kern w:val="0"/>
          <w:sz w:val="20"/>
          <w:szCs w:val="20"/>
          <w:lang w:val="fr-FR" w:bidi="ar-SA"/>
          <w14:ligatures w14:val="none"/>
        </w:rPr>
        <w:t>202</w:t>
      </w:r>
      <w:r w:rsidR="00B35FB3" w:rsidRPr="00CA74B8">
        <w:rPr>
          <w:rFonts w:ascii="Times New Roman" w:eastAsia="MS Mincho" w:hAnsi="Times New Roman" w:cs="Times New Roman"/>
          <w:kern w:val="0"/>
          <w:sz w:val="20"/>
          <w:szCs w:val="20"/>
          <w:lang w:val="fr-FR" w:bidi="ar-SA"/>
          <w14:ligatures w14:val="none"/>
        </w:rPr>
        <w:t>4</w:t>
      </w:r>
      <w:r w:rsidRPr="00CA74B8">
        <w:rPr>
          <w:rFonts w:ascii="Times New Roman" w:eastAsia="MS Mincho" w:hAnsi="Times New Roman" w:cs="Times New Roman"/>
          <w:kern w:val="0"/>
          <w:sz w:val="20"/>
          <w:szCs w:val="20"/>
          <w:lang w:val="fr-FR" w:bidi="ar-SA"/>
          <w14:ligatures w14:val="none"/>
        </w:rPr>
        <w:t xml:space="preserve">), le produit net pour 10 000 unités d’Obligations est de </w:t>
      </w:r>
      <w:r w:rsidRPr="00B5596E">
        <w:rPr>
          <w:rFonts w:ascii="Times New Roman" w:eastAsia="MS Mincho" w:hAnsi="Times New Roman" w:cs="Times New Roman"/>
          <w:kern w:val="0"/>
          <w:sz w:val="20"/>
          <w:szCs w:val="20"/>
          <w:lang w:val="fr-FR" w:bidi="ar-SA"/>
          <w14:ligatures w14:val="none"/>
        </w:rPr>
        <w:t>EUR</w:t>
      </w:r>
      <w:r w:rsidRPr="00CA74B8">
        <w:rPr>
          <w:rFonts w:ascii="Times New Roman" w:eastAsia="MS Mincho" w:hAnsi="Times New Roman" w:cs="Times New Roman"/>
          <w:kern w:val="0"/>
          <w:sz w:val="20"/>
          <w:szCs w:val="20"/>
          <w:lang w:val="fr-FR" w:bidi="ar-SA"/>
          <w14:ligatures w14:val="none"/>
        </w:rPr>
        <w:t xml:space="preserve"> </w:t>
      </w:r>
      <w:r w:rsidR="00B35FB3" w:rsidRPr="00CA74B8">
        <w:rPr>
          <w:rFonts w:ascii="Times New Roman" w:eastAsia="MS Mincho" w:hAnsi="Times New Roman" w:cs="Times New Roman"/>
          <w:kern w:val="0"/>
          <w:sz w:val="20"/>
          <w:szCs w:val="20"/>
          <w:lang w:val="fr-FR" w:bidi="ar-SA"/>
          <w14:ligatures w14:val="none"/>
        </w:rPr>
        <w:t>47,022.20</w:t>
      </w:r>
      <w:r w:rsidRPr="00CA74B8">
        <w:rPr>
          <w:rFonts w:ascii="Times New Roman" w:eastAsia="MS Mincho" w:hAnsi="Times New Roman" w:cs="Times New Roman"/>
          <w:kern w:val="0"/>
          <w:sz w:val="20"/>
          <w:szCs w:val="20"/>
          <w:lang w:val="fr-FR" w:bidi="ar-SA"/>
          <w14:ligatures w14:val="none"/>
        </w:rPr>
        <w:t>.</w:t>
      </w:r>
    </w:p>
    <w:bookmarkEnd w:id="0"/>
    <w:p w14:paraId="0D83E7E7" w14:textId="24CCDAE6" w:rsidR="008C1A14" w:rsidRPr="00CA74B8" w:rsidRDefault="00A82619" w:rsidP="008C1A14">
      <w:pPr>
        <w:keepNext/>
        <w:keepLines/>
        <w:numPr>
          <w:ilvl w:val="3"/>
          <w:numId w:val="1"/>
        </w:numPr>
        <w:tabs>
          <w:tab w:val="num" w:pos="720"/>
        </w:tabs>
        <w:spacing w:after="60" w:line="240" w:lineRule="auto"/>
        <w:ind w:left="720"/>
        <w:jc w:val="both"/>
        <w:outlineLvl w:val="3"/>
        <w:rPr>
          <w:rFonts w:ascii="Times New Roman" w:eastAsia="Times New Roman" w:hAnsi="Times New Roman" w:cs="Times New Roman"/>
          <w:b/>
          <w:bCs/>
          <w:iCs/>
          <w:color w:val="000000"/>
          <w:kern w:val="0"/>
          <w:sz w:val="20"/>
          <w:szCs w:val="20"/>
          <w:lang w:val="en-US" w:bidi="ar-SA"/>
          <w14:ligatures w14:val="none"/>
        </w:rPr>
      </w:pPr>
      <w:r w:rsidRPr="00CA74B8">
        <w:rPr>
          <w:rFonts w:ascii="Times New Roman" w:eastAsia="Times New Roman" w:hAnsi="Times New Roman" w:cs="Times New Roman"/>
          <w:b/>
          <w:bCs/>
          <w:iCs/>
          <w:color w:val="000000"/>
          <w:kern w:val="0"/>
          <w:sz w:val="20"/>
          <w:szCs w:val="20"/>
          <w:lang w:val="en-US" w:bidi="ar-SA"/>
          <w14:ligatures w14:val="none"/>
        </w:rPr>
        <w:t xml:space="preserve">Accord de </w:t>
      </w:r>
      <w:proofErr w:type="spellStart"/>
      <w:r w:rsidRPr="00CA74B8">
        <w:rPr>
          <w:rFonts w:ascii="Times New Roman" w:eastAsia="Times New Roman" w:hAnsi="Times New Roman" w:cs="Times New Roman"/>
          <w:b/>
          <w:bCs/>
          <w:iCs/>
          <w:color w:val="000000"/>
          <w:kern w:val="0"/>
          <w:sz w:val="20"/>
          <w:szCs w:val="20"/>
          <w:lang w:val="en-US" w:bidi="ar-SA"/>
          <w14:ligatures w14:val="none"/>
        </w:rPr>
        <w:t>souscription</w:t>
      </w:r>
      <w:proofErr w:type="spellEnd"/>
    </w:p>
    <w:p w14:paraId="18644A68" w14:textId="22DDAF1A" w:rsidR="008C1A14" w:rsidRPr="00CA74B8" w:rsidRDefault="00A82619" w:rsidP="008C1A14">
      <w:pPr>
        <w:spacing w:after="180" w:line="240" w:lineRule="auto"/>
        <w:ind w:left="720" w:hanging="720"/>
        <w:jc w:val="both"/>
        <w:rPr>
          <w:rFonts w:ascii="Times New Roman" w:eastAsia="MS Mincho" w:hAnsi="Times New Roman" w:cs="Times New Roman"/>
          <w:kern w:val="0"/>
          <w:sz w:val="20"/>
          <w:szCs w:val="20"/>
          <w:lang w:val="fr-FR" w:bidi="ar-SA"/>
          <w14:ligatures w14:val="none"/>
        </w:rPr>
      </w:pPr>
      <w:r w:rsidRPr="00CA74B8">
        <w:rPr>
          <w:rFonts w:ascii="Times New Roman" w:eastAsia="MS Mincho" w:hAnsi="Times New Roman" w:cs="Times New Roman"/>
          <w:kern w:val="0"/>
          <w:sz w:val="20"/>
          <w:szCs w:val="20"/>
          <w:lang w:val="fr-FR" w:bidi="ar-SA"/>
          <w14:ligatures w14:val="none"/>
        </w:rPr>
        <w:t>L’Émetteur n’a pas conclu de contrat de souscription.</w:t>
      </w:r>
    </w:p>
    <w:p w14:paraId="5A87482E" w14:textId="615C310B" w:rsidR="008C1A14" w:rsidRPr="00CA74B8" w:rsidRDefault="00A82619" w:rsidP="008C1A14">
      <w:pPr>
        <w:numPr>
          <w:ilvl w:val="3"/>
          <w:numId w:val="1"/>
        </w:numPr>
        <w:tabs>
          <w:tab w:val="num" w:pos="426"/>
        </w:tabs>
        <w:spacing w:after="60" w:line="240" w:lineRule="auto"/>
        <w:ind w:left="720"/>
        <w:jc w:val="both"/>
        <w:outlineLvl w:val="3"/>
        <w:rPr>
          <w:rFonts w:ascii="Times New Roman" w:eastAsia="Times New Roman" w:hAnsi="Times New Roman" w:cs="Times New Roman"/>
          <w:b/>
          <w:bCs/>
          <w:iCs/>
          <w:color w:val="000000"/>
          <w:kern w:val="0"/>
          <w:sz w:val="20"/>
          <w:szCs w:val="20"/>
          <w:lang w:val="fr-FR" w:bidi="ar-SA"/>
          <w14:ligatures w14:val="none"/>
        </w:rPr>
      </w:pPr>
      <w:r w:rsidRPr="00CA74B8">
        <w:rPr>
          <w:rFonts w:ascii="Times New Roman" w:eastAsia="Times New Roman" w:hAnsi="Times New Roman" w:cs="Times New Roman"/>
          <w:b/>
          <w:bCs/>
          <w:iCs/>
          <w:color w:val="000000"/>
          <w:kern w:val="0"/>
          <w:sz w:val="20"/>
          <w:szCs w:val="20"/>
          <w:lang w:val="fr-FR" w:bidi="ar-SA"/>
          <w14:ligatures w14:val="none"/>
        </w:rPr>
        <w:t>Conflits d’intérêts importants liés à l’offre ou à l’admission à la négociation</w:t>
      </w:r>
    </w:p>
    <w:p w14:paraId="22DAEA04" w14:textId="68CDC5D2" w:rsidR="004D0E41" w:rsidRPr="00A82619" w:rsidRDefault="00A82619">
      <w:pPr>
        <w:rPr>
          <w:lang w:val="fr-FR"/>
        </w:rPr>
      </w:pPr>
      <w:r w:rsidRPr="00CA74B8">
        <w:rPr>
          <w:rFonts w:ascii="Times New Roman" w:eastAsia="MS Mincho" w:hAnsi="Times New Roman" w:cs="Times New Roman"/>
          <w:kern w:val="0"/>
          <w:sz w:val="20"/>
          <w:szCs w:val="20"/>
          <w:lang w:val="fr-FR" w:bidi="ar-SA"/>
          <w14:ligatures w14:val="none"/>
        </w:rPr>
        <w:t>Il n’y a pas d’intérêts significatifs, et en particulier pas de conflits d’intérêts liés à l’offre au public ou à l’admission à la négociation.</w:t>
      </w:r>
    </w:p>
    <w:sectPr w:rsidR="004D0E41" w:rsidRPr="00A8261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4F4F" w14:textId="77777777" w:rsidR="00F92524" w:rsidRDefault="00F92524" w:rsidP="008C1A14">
      <w:pPr>
        <w:spacing w:after="0" w:line="240" w:lineRule="auto"/>
      </w:pPr>
      <w:r>
        <w:separator/>
      </w:r>
    </w:p>
  </w:endnote>
  <w:endnote w:type="continuationSeparator" w:id="0">
    <w:p w14:paraId="281203E9" w14:textId="77777777" w:rsidR="00F92524" w:rsidRDefault="00F92524" w:rsidP="008C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9E9" w14:textId="77777777" w:rsidR="008C1A14" w:rsidRDefault="008C1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883408"/>
      <w:docPartObj>
        <w:docPartGallery w:val="Page Numbers (Bottom of Page)"/>
        <w:docPartUnique/>
      </w:docPartObj>
    </w:sdtPr>
    <w:sdtEndPr>
      <w:rPr>
        <w:rStyle w:val="PageNumber"/>
        <w:rFonts w:eastAsia="MS Mincho"/>
      </w:rPr>
    </w:sdtEndPr>
    <w:sdtContent>
      <w:p w14:paraId="648EE73B" w14:textId="77777777" w:rsidR="008C1A14" w:rsidRPr="00CD6F3C" w:rsidRDefault="008C1A14" w:rsidP="00CD6F3C">
        <w:pPr>
          <w:pStyle w:val="Footer"/>
          <w:rPr>
            <w:rStyle w:val="PageNumber"/>
            <w:rFonts w:eastAsia="MS Mincho"/>
          </w:rPr>
        </w:pPr>
        <w:r w:rsidRPr="00CD6F3C">
          <w:rPr>
            <w:rStyle w:val="PageNumber"/>
            <w:rFonts w:eastAsia="MS Mincho"/>
          </w:rPr>
          <w:t xml:space="preserve">- </w:t>
        </w:r>
        <w:r w:rsidRPr="00CD6F3C">
          <w:rPr>
            <w:rStyle w:val="PageNumber"/>
            <w:rFonts w:eastAsia="MS Mincho"/>
          </w:rPr>
          <w:fldChar w:fldCharType="begin"/>
        </w:r>
        <w:r w:rsidRPr="00CD6F3C">
          <w:rPr>
            <w:rStyle w:val="PageNumber"/>
            <w:rFonts w:eastAsia="MS Mincho"/>
          </w:rPr>
          <w:instrText xml:space="preserve"> PAGE   \* MERGEFORMAT </w:instrText>
        </w:r>
        <w:r w:rsidRPr="00CD6F3C">
          <w:rPr>
            <w:rStyle w:val="PageNumber"/>
            <w:rFonts w:eastAsia="MS Mincho"/>
          </w:rPr>
          <w:fldChar w:fldCharType="separate"/>
        </w:r>
        <w:r>
          <w:rPr>
            <w:rStyle w:val="PageNumber"/>
            <w:rFonts w:eastAsia="MS Mincho"/>
            <w:noProof/>
          </w:rPr>
          <w:t>44</w:t>
        </w:r>
        <w:r w:rsidRPr="00CD6F3C">
          <w:rPr>
            <w:rStyle w:val="PageNumber"/>
            <w:rFonts w:eastAsia="MS Mincho"/>
          </w:rPr>
          <w:fldChar w:fldCharType="end"/>
        </w:r>
        <w:r w:rsidRPr="00CD6F3C">
          <w:rPr>
            <w:rStyle w:val="PageNumber"/>
            <w:rFonts w:eastAsia="MS Mincho"/>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2A76" w14:textId="77777777" w:rsidR="008C1A14" w:rsidRDefault="008C1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D3D9" w14:textId="77777777" w:rsidR="00F92524" w:rsidRDefault="00F92524" w:rsidP="008C1A14">
      <w:pPr>
        <w:spacing w:after="0" w:line="240" w:lineRule="auto"/>
      </w:pPr>
      <w:r>
        <w:separator/>
      </w:r>
    </w:p>
  </w:footnote>
  <w:footnote w:type="continuationSeparator" w:id="0">
    <w:p w14:paraId="24C4161B" w14:textId="77777777" w:rsidR="00F92524" w:rsidRDefault="00F92524" w:rsidP="008C1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4F71" w14:textId="77777777" w:rsidR="008C1A14" w:rsidRDefault="008C1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60F3" w14:textId="77777777" w:rsidR="008C1A14" w:rsidRDefault="008C1A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153" w14:textId="77777777" w:rsidR="008C1A14" w:rsidRDefault="008C1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2345A"/>
    <w:multiLevelType w:val="multilevel"/>
    <w:tmpl w:val="8F147632"/>
    <w:lvl w:ilvl="0">
      <w:start w:val="1"/>
      <w:numFmt w:val="decimal"/>
      <w:lvlText w:val="%1."/>
      <w:lvlJc w:val="left"/>
      <w:pPr>
        <w:tabs>
          <w:tab w:val="num" w:pos="720"/>
        </w:tabs>
        <w:ind w:left="0" w:firstLine="0"/>
      </w:pPr>
      <w:rPr>
        <w:rFonts w:ascii="Times New Roman Bold" w:hAnsi="Times New Roman Bold" w:cs="Times New Roman" w:hint="default"/>
        <w:b/>
        <w:i w:val="0"/>
        <w:color w:val="000000" w:themeColor="text1"/>
        <w:sz w:val="22"/>
      </w:rPr>
    </w:lvl>
    <w:lvl w:ilvl="1">
      <w:start w:val="1"/>
      <w:numFmt w:val="decimal"/>
      <w:isLgl/>
      <w:lvlText w:val="%1.%2."/>
      <w:lvlJc w:val="left"/>
      <w:pPr>
        <w:tabs>
          <w:tab w:val="num" w:pos="2847"/>
        </w:tabs>
        <w:ind w:left="2847" w:hanging="720"/>
      </w:pPr>
      <w:rPr>
        <w:rFonts w:ascii="Times New Roman Bold" w:hAnsi="Times New Roman Bold" w:cs="Times New Roman" w:hint="default"/>
        <w:b/>
        <w:i w:val="0"/>
        <w:color w:val="auto"/>
        <w:sz w:val="20"/>
      </w:rPr>
    </w:lvl>
    <w:lvl w:ilvl="2">
      <w:start w:val="1"/>
      <w:numFmt w:val="decimal"/>
      <w:lvlText w:val="%1.%2.%3."/>
      <w:lvlJc w:val="left"/>
      <w:pPr>
        <w:tabs>
          <w:tab w:val="num" w:pos="1004"/>
        </w:tabs>
        <w:ind w:left="1004" w:hanging="720"/>
      </w:pPr>
      <w:rPr>
        <w:rFonts w:ascii="Times New Roman" w:eastAsia="MS Mincho" w:hAnsi="Times New Roman" w:cs="Times New Roman" w:hint="default"/>
        <w:color w:val="000000" w:themeColor="text1"/>
        <w:sz w:val="20"/>
      </w:rPr>
    </w:lvl>
    <w:lvl w:ilvl="3">
      <w:start w:val="1"/>
      <w:numFmt w:val="decimal"/>
      <w:lvlText w:val="%1.%2.%3.%4."/>
      <w:lvlJc w:val="left"/>
      <w:pPr>
        <w:tabs>
          <w:tab w:val="num" w:pos="1146"/>
        </w:tabs>
        <w:ind w:left="1146" w:hanging="720"/>
      </w:pPr>
      <w:rPr>
        <w:rFonts w:ascii="Times New Roman" w:eastAsia="MS Mincho" w:hAnsi="Times New Roman" w:cs="Times New Roman" w:hint="default"/>
        <w:b/>
        <w:color w:val="000000" w:themeColor="text1"/>
        <w:sz w:val="20"/>
      </w:rPr>
    </w:lvl>
    <w:lvl w:ilvl="4">
      <w:start w:val="1"/>
      <w:numFmt w:val="lowerLetter"/>
      <w:lvlText w:val="(%5)"/>
      <w:lvlJc w:val="left"/>
      <w:pPr>
        <w:tabs>
          <w:tab w:val="num" w:pos="1440"/>
        </w:tabs>
        <w:ind w:left="1440" w:hanging="720"/>
      </w:pPr>
      <w:rPr>
        <w:rFonts w:ascii="Times New Roman" w:eastAsia="MS Mincho" w:hAnsi="Times New Roman" w:cs="Times New Roman" w:hint="default"/>
        <w:color w:val="000000" w:themeColor="text1"/>
        <w:sz w:val="22"/>
      </w:rPr>
    </w:lvl>
    <w:lvl w:ilvl="5">
      <w:start w:val="1"/>
      <w:numFmt w:val="lowerRoman"/>
      <w:lvlText w:val="(%6)"/>
      <w:lvlJc w:val="left"/>
      <w:pPr>
        <w:tabs>
          <w:tab w:val="num" w:pos="1440"/>
        </w:tabs>
        <w:ind w:left="1440" w:hanging="720"/>
      </w:pPr>
      <w:rPr>
        <w:rFonts w:ascii="Times New Roman" w:eastAsia="MS Mincho" w:hAnsi="Times New Roman" w:cs="Times New Roman" w:hint="default"/>
        <w:color w:val="000000" w:themeColor="text1"/>
        <w:sz w:val="22"/>
      </w:rPr>
    </w:lvl>
    <w:lvl w:ilvl="6">
      <w:start w:val="1"/>
      <w:numFmt w:val="upperLetter"/>
      <w:lvlText w:val="(%7)"/>
      <w:lvlJc w:val="left"/>
      <w:pPr>
        <w:tabs>
          <w:tab w:val="num" w:pos="2880"/>
        </w:tabs>
        <w:ind w:left="1440" w:firstLine="720"/>
      </w:pPr>
      <w:rPr>
        <w:rFonts w:ascii="Times New Roman" w:eastAsia="MS Mincho" w:hAnsi="Times New Roman" w:cs="Times New Roman" w:hint="default"/>
        <w:color w:val="000000" w:themeColor="text1"/>
        <w:sz w:val="22"/>
      </w:rPr>
    </w:lvl>
    <w:lvl w:ilvl="7">
      <w:start w:val="1"/>
      <w:numFmt w:val="upperRoman"/>
      <w:lvlText w:val="(%8)"/>
      <w:lvlJc w:val="left"/>
      <w:pPr>
        <w:tabs>
          <w:tab w:val="num" w:pos="3600"/>
        </w:tabs>
        <w:ind w:left="2160" w:firstLine="720"/>
      </w:pPr>
      <w:rPr>
        <w:rFonts w:ascii="Times New Roman" w:eastAsia="MS Mincho" w:hAnsi="Times New Roman" w:cs="Times New Roman" w:hint="default"/>
        <w:color w:val="000000" w:themeColor="text1"/>
        <w:sz w:val="22"/>
      </w:rPr>
    </w:lvl>
    <w:lvl w:ilvl="8">
      <w:start w:val="1"/>
      <w:numFmt w:val="decimal"/>
      <w:lvlText w:val="%9."/>
      <w:lvlJc w:val="left"/>
      <w:pPr>
        <w:tabs>
          <w:tab w:val="num" w:pos="5760"/>
        </w:tabs>
        <w:ind w:left="0" w:firstLine="5040"/>
      </w:pPr>
      <w:rPr>
        <w:rFonts w:ascii="Times New Roman" w:eastAsia="MS Mincho" w:hAnsi="Times New Roman" w:cs="Times New Roman" w:hint="default"/>
        <w:color w:val="000000" w:themeColor="text1"/>
        <w:sz w:val="22"/>
      </w:rPr>
    </w:lvl>
  </w:abstractNum>
  <w:num w:numId="1" w16cid:durableId="75178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14"/>
    <w:rsid w:val="00135D97"/>
    <w:rsid w:val="002C3B37"/>
    <w:rsid w:val="002D5055"/>
    <w:rsid w:val="004D0E41"/>
    <w:rsid w:val="005646D5"/>
    <w:rsid w:val="00615CBB"/>
    <w:rsid w:val="00645BB5"/>
    <w:rsid w:val="00657A2B"/>
    <w:rsid w:val="0076552A"/>
    <w:rsid w:val="007A0638"/>
    <w:rsid w:val="00801321"/>
    <w:rsid w:val="008C1A14"/>
    <w:rsid w:val="00A0198D"/>
    <w:rsid w:val="00A44975"/>
    <w:rsid w:val="00A82619"/>
    <w:rsid w:val="00AB6E56"/>
    <w:rsid w:val="00AD52B9"/>
    <w:rsid w:val="00B13D3E"/>
    <w:rsid w:val="00B35FB3"/>
    <w:rsid w:val="00B5596E"/>
    <w:rsid w:val="00BF24A3"/>
    <w:rsid w:val="00C925C8"/>
    <w:rsid w:val="00CA74B8"/>
    <w:rsid w:val="00D12E0A"/>
    <w:rsid w:val="00E85157"/>
    <w:rsid w:val="00F12BAC"/>
    <w:rsid w:val="00F907D6"/>
    <w:rsid w:val="00F92524"/>
    <w:rsid w:val="00FD0E3E"/>
    <w:rsid w:val="183027C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641D"/>
  <w15:chartTrackingRefBased/>
  <w15:docId w15:val="{995A033A-975D-44AB-8BBA-F6E8CEA3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1A1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C1A14"/>
  </w:style>
  <w:style w:type="paragraph" w:styleId="FootnoteText">
    <w:name w:val="footnote text"/>
    <w:basedOn w:val="Normal"/>
    <w:link w:val="FootnoteTextChar"/>
    <w:uiPriority w:val="99"/>
    <w:semiHidden/>
    <w:unhideWhenUsed/>
    <w:rsid w:val="008C1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A14"/>
    <w:rPr>
      <w:sz w:val="20"/>
      <w:szCs w:val="20"/>
    </w:rPr>
  </w:style>
  <w:style w:type="paragraph" w:styleId="Footer">
    <w:name w:val="footer"/>
    <w:basedOn w:val="Normal"/>
    <w:link w:val="FooterChar"/>
    <w:uiPriority w:val="99"/>
    <w:semiHidden/>
    <w:unhideWhenUsed/>
    <w:rsid w:val="008C1A1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C1A14"/>
  </w:style>
  <w:style w:type="table" w:customStyle="1" w:styleId="TableGrid1">
    <w:name w:val="Table Grid1"/>
    <w:basedOn w:val="TableNormal"/>
    <w:next w:val="TableGrid"/>
    <w:uiPriority w:val="59"/>
    <w:rsid w:val="008C1A14"/>
    <w:pPr>
      <w:spacing w:after="0" w:line="240" w:lineRule="auto"/>
    </w:pPr>
    <w:rPr>
      <w:kern w:val="0"/>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8C1A14"/>
  </w:style>
  <w:style w:type="character" w:styleId="PageNumber">
    <w:name w:val="page number"/>
    <w:basedOn w:val="DefaultParagraphFont"/>
    <w:uiPriority w:val="99"/>
    <w:semiHidden/>
    <w:unhideWhenUsed/>
    <w:rsid w:val="008C1A14"/>
  </w:style>
  <w:style w:type="table" w:styleId="TableGrid">
    <w:name w:val="Table Grid"/>
    <w:basedOn w:val="TableNormal"/>
    <w:uiPriority w:val="39"/>
    <w:rsid w:val="008C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7A2B"/>
    <w:rPr>
      <w:color w:val="0563C1" w:themeColor="hyperlink"/>
      <w:u w:val="single"/>
    </w:rPr>
  </w:style>
  <w:style w:type="character" w:styleId="UnresolvedMention">
    <w:name w:val="Unresolved Mention"/>
    <w:basedOn w:val="DefaultParagraphFont"/>
    <w:uiPriority w:val="99"/>
    <w:semiHidden/>
    <w:unhideWhenUsed/>
    <w:rsid w:val="00657A2B"/>
    <w:rPr>
      <w:color w:val="605E5C"/>
      <w:shd w:val="clear" w:color="auto" w:fill="E1DFDD"/>
    </w:rPr>
  </w:style>
  <w:style w:type="paragraph" w:styleId="Revision">
    <w:name w:val="Revision"/>
    <w:hidden/>
    <w:uiPriority w:val="99"/>
    <w:semiHidden/>
    <w:rsid w:val="00D12E0A"/>
    <w:pPr>
      <w:spacing w:after="0" w:line="240" w:lineRule="auto"/>
    </w:pPr>
  </w:style>
  <w:style w:type="character" w:styleId="CommentReference">
    <w:name w:val="annotation reference"/>
    <w:basedOn w:val="DefaultParagraphFont"/>
    <w:uiPriority w:val="99"/>
    <w:semiHidden/>
    <w:unhideWhenUsed/>
    <w:rsid w:val="00D12E0A"/>
    <w:rPr>
      <w:sz w:val="16"/>
      <w:szCs w:val="16"/>
    </w:rPr>
  </w:style>
  <w:style w:type="paragraph" w:styleId="CommentText">
    <w:name w:val="annotation text"/>
    <w:basedOn w:val="Normal"/>
    <w:link w:val="CommentTextChar"/>
    <w:uiPriority w:val="99"/>
    <w:unhideWhenUsed/>
    <w:rsid w:val="00D12E0A"/>
    <w:pPr>
      <w:spacing w:line="240" w:lineRule="auto"/>
    </w:pPr>
    <w:rPr>
      <w:sz w:val="20"/>
      <w:szCs w:val="20"/>
    </w:rPr>
  </w:style>
  <w:style w:type="character" w:customStyle="1" w:styleId="CommentTextChar">
    <w:name w:val="Comment Text Char"/>
    <w:basedOn w:val="DefaultParagraphFont"/>
    <w:link w:val="CommentText"/>
    <w:uiPriority w:val="99"/>
    <w:rsid w:val="00D12E0A"/>
    <w:rPr>
      <w:sz w:val="20"/>
      <w:szCs w:val="20"/>
    </w:rPr>
  </w:style>
  <w:style w:type="paragraph" w:styleId="CommentSubject">
    <w:name w:val="annotation subject"/>
    <w:basedOn w:val="CommentText"/>
    <w:next w:val="CommentText"/>
    <w:link w:val="CommentSubjectChar"/>
    <w:uiPriority w:val="99"/>
    <w:semiHidden/>
    <w:unhideWhenUsed/>
    <w:rsid w:val="00D12E0A"/>
    <w:rPr>
      <w:b/>
      <w:bCs/>
    </w:rPr>
  </w:style>
  <w:style w:type="character" w:customStyle="1" w:styleId="CommentSubjectChar">
    <w:name w:val="Comment Subject Char"/>
    <w:basedOn w:val="CommentTextChar"/>
    <w:link w:val="CommentSubject"/>
    <w:uiPriority w:val="99"/>
    <w:semiHidden/>
    <w:rsid w:val="00D12E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6829F9418D9A49A71A0EDA6DFBCE56" ma:contentTypeVersion="17" ma:contentTypeDescription="Create a new document." ma:contentTypeScope="" ma:versionID="d24f666c602f23078151cd4efe2f0d63">
  <xsd:schema xmlns:xsd="http://www.w3.org/2001/XMLSchema" xmlns:xs="http://www.w3.org/2001/XMLSchema" xmlns:p="http://schemas.microsoft.com/office/2006/metadata/properties" xmlns:ns2="26d035a7-9ca6-4cc8-b191-bfaf02b6a662" xmlns:ns3="c9bbcbda-5439-454d-b032-e0a0df44c071" targetNamespace="http://schemas.microsoft.com/office/2006/metadata/properties" ma:root="true" ma:fieldsID="0ca3a7c838b55dbb89e89be8c3294b2a" ns2:_="" ns3:_="">
    <xsd:import namespace="26d035a7-9ca6-4cc8-b191-bfaf02b6a662"/>
    <xsd:import namespace="c9bbcbda-5439-454d-b032-e0a0df44c0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5a7-9ca6-4cc8-b191-bfaf02b6a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678c14-33b2-4519-b0ff-1c454fae6541"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bbcbda-5439-454d-b032-e0a0df44c0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d9b55e-dfca-4cbb-a746-4bcb6dc9f5f4}" ma:internalName="TaxCatchAll" ma:showField="CatchAllData" ma:web="c9bbcbda-5439-454d-b032-e0a0df44c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bbcbda-5439-454d-b032-e0a0df44c071" xsi:nil="true"/>
    <lcf76f155ced4ddcb4097134ff3c332f xmlns="26d035a7-9ca6-4cc8-b191-bfaf02b6a66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91A85B-E6FA-4B84-B9DD-B1287FEAA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035a7-9ca6-4cc8-b191-bfaf02b6a662"/>
    <ds:schemaRef ds:uri="c9bbcbda-5439-454d-b032-e0a0df44c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97E3C-A358-41A0-ADA6-7C8190C26E62}">
  <ds:schemaRefs>
    <ds:schemaRef ds:uri="http://schemas.openxmlformats.org/officeDocument/2006/bibliography"/>
  </ds:schemaRefs>
</ds:datastoreItem>
</file>

<file path=customXml/itemProps3.xml><?xml version="1.0" encoding="utf-8"?>
<ds:datastoreItem xmlns:ds="http://schemas.openxmlformats.org/officeDocument/2006/customXml" ds:itemID="{8929BD8D-91F9-4C73-AE0B-5AA0A02E6552}">
  <ds:schemaRefs>
    <ds:schemaRef ds:uri="http://schemas.microsoft.com/office/2006/metadata/properties"/>
    <ds:schemaRef ds:uri="http://schemas.microsoft.com/office/infopath/2007/PartnerControls"/>
    <ds:schemaRef ds:uri="c9bbcbda-5439-454d-b032-e0a0df44c071"/>
    <ds:schemaRef ds:uri="26d035a7-9ca6-4cc8-b191-bfaf02b6a662"/>
  </ds:schemaRefs>
</ds:datastoreItem>
</file>

<file path=customXml/itemProps4.xml><?xml version="1.0" encoding="utf-8"?>
<ds:datastoreItem xmlns:ds="http://schemas.openxmlformats.org/officeDocument/2006/customXml" ds:itemID="{5B1F3A1A-F7F2-4F95-A14C-2BC4004950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5587</Words>
  <Characters>31847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Karabatova, Tatiana</dc:creator>
  <cp:keywords/>
  <dc:description/>
  <cp:lastModifiedBy>Luke Sayer</cp:lastModifiedBy>
  <cp:revision>11</cp:revision>
  <dcterms:created xsi:type="dcterms:W3CDTF">2023-12-15T11:40:00Z</dcterms:created>
  <dcterms:modified xsi:type="dcterms:W3CDTF">2024-01-24T18:33:00Z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0x010100096829F9418D9A49A71A0EDA6DFBCE56</vt:lpwstr>
  </property>
  <property fmtid="{D5CDD505-2E9C-101B-9397-08002B2CF9AE}" pid="3" name="MediaServiceImageTags">
    <vt:lpwstr/>
  </property>
</Properties>
</file>