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1D75" w14:textId="0D33078C" w:rsidR="00815EB2" w:rsidRPr="000B5034" w:rsidRDefault="000A05B7" w:rsidP="00815EB2">
      <w:pPr>
        <w:pageBreakBefore/>
        <w:spacing w:after="180" w:line="240" w:lineRule="auto"/>
        <w:jc w:val="center"/>
        <w:outlineLvl w:val="0"/>
        <w:rPr>
          <w:rFonts w:ascii="Times New Roman" w:eastAsia="Times New Roman" w:hAnsi="Times New Roman" w:cs="Times New Roman"/>
          <w:b/>
          <w:bCs/>
          <w:caps/>
          <w:color w:val="000000"/>
          <w:kern w:val="0"/>
          <w:sz w:val="20"/>
          <w:szCs w:val="20"/>
          <w:lang w:val="es-ES" w:bidi="ar-SA"/>
          <w14:ligatures w14:val="none"/>
        </w:rPr>
      </w:pPr>
      <w:bookmarkStart w:id="0" w:name="_Hlk153296198"/>
      <w:r w:rsidRPr="000B5034">
        <w:rPr>
          <w:rFonts w:ascii="Times New Roman" w:eastAsia="Times New Roman" w:hAnsi="Times New Roman" w:cs="Times New Roman"/>
          <w:b/>
          <w:bCs/>
          <w:caps/>
          <w:color w:val="000000"/>
          <w:kern w:val="0"/>
          <w:sz w:val="20"/>
          <w:szCs w:val="20"/>
          <w:lang w:val="es-ES" w:bidi="ar-SA"/>
          <w14:ligatures w14:val="none"/>
        </w:rPr>
        <w:t>NOTA DI SINTESI SPECIFICA ALL’EMISSIONE</w:t>
      </w:r>
    </w:p>
    <w:p w14:paraId="3F71E98C" w14:textId="3F014364" w:rsidR="00815EB2" w:rsidRPr="000B5034" w:rsidRDefault="00F1174B" w:rsidP="00815EB2">
      <w:pPr>
        <w:keepNext/>
        <w:keepLines/>
        <w:numPr>
          <w:ilvl w:val="1"/>
          <w:numId w:val="1"/>
        </w:numPr>
        <w:spacing w:after="120" w:line="240" w:lineRule="auto"/>
        <w:ind w:right="-709"/>
        <w:jc w:val="both"/>
        <w:outlineLvl w:val="1"/>
        <w:rPr>
          <w:rFonts w:ascii="Times New Roman" w:eastAsia="Times New Roman" w:hAnsi="Times New Roman" w:cs="Times New Roman"/>
          <w:b/>
          <w:bCs/>
          <w:caps/>
          <w:color w:val="000000"/>
          <w:kern w:val="0"/>
          <w:sz w:val="20"/>
          <w:szCs w:val="20"/>
          <w:lang w:val="en-US" w:bidi="ar-SA"/>
          <w14:ligatures w14:val="none"/>
        </w:rPr>
      </w:pPr>
      <w:r w:rsidRPr="000B5034">
        <w:rPr>
          <w:rFonts w:ascii="Times New Roman" w:eastAsia="Times New Roman" w:hAnsi="Times New Roman" w:cs="Times New Roman"/>
          <w:b/>
          <w:bCs/>
          <w:caps/>
          <w:color w:val="000000"/>
          <w:kern w:val="0"/>
          <w:sz w:val="20"/>
          <w:szCs w:val="20"/>
          <w:lang w:val="en-US" w:bidi="ar-SA"/>
          <w14:ligatures w14:val="none"/>
        </w:rPr>
        <w:t>INTRODUZIONE E AVVERTENZE</w:t>
      </w:r>
    </w:p>
    <w:p w14:paraId="2EC57CA8" w14:textId="77777777" w:rsidR="00F1174B" w:rsidRPr="000B5034" w:rsidRDefault="00F1174B" w:rsidP="00F1174B">
      <w:pPr>
        <w:spacing w:after="60" w:line="240" w:lineRule="auto"/>
        <w:jc w:val="both"/>
        <w:rPr>
          <w:rFonts w:ascii="Times New Roman" w:eastAsia="MS Mincho" w:hAnsi="Times New Roman" w:cs="Times New Roman"/>
          <w:kern w:val="0"/>
          <w:sz w:val="20"/>
          <w:szCs w:val="20"/>
          <w:lang w:val="fr-FR" w:bidi="ar-SA"/>
          <w14:ligatures w14:val="none"/>
        </w:rPr>
      </w:pPr>
      <w:r w:rsidRPr="000B5034">
        <w:rPr>
          <w:rFonts w:ascii="Times New Roman" w:eastAsia="MS Mincho" w:hAnsi="Times New Roman" w:cs="Times New Roman"/>
          <w:kern w:val="0"/>
          <w:sz w:val="20"/>
          <w:szCs w:val="20"/>
          <w:lang w:val="en-US" w:bidi="ar-SA"/>
          <w14:ligatures w14:val="none"/>
        </w:rPr>
        <w:t>Questo riassunto si riferisce all'offerta pubblica di bond garantiti (i "</w:t>
      </w:r>
      <w:r w:rsidRPr="000B5034">
        <w:rPr>
          <w:rFonts w:ascii="Times New Roman" w:eastAsia="MS Mincho" w:hAnsi="Times New Roman" w:cs="Times New Roman"/>
          <w:b/>
          <w:bCs/>
          <w:kern w:val="0"/>
          <w:sz w:val="20"/>
          <w:szCs w:val="20"/>
          <w:lang w:val="en-US" w:bidi="ar-SA"/>
          <w14:ligatures w14:val="none"/>
        </w:rPr>
        <w:t>Bond</w:t>
      </w:r>
      <w:r w:rsidRPr="000B5034">
        <w:rPr>
          <w:rFonts w:ascii="Times New Roman" w:eastAsia="MS Mincho" w:hAnsi="Times New Roman" w:cs="Times New Roman"/>
          <w:kern w:val="0"/>
          <w:sz w:val="20"/>
          <w:szCs w:val="20"/>
          <w:lang w:val="en-US" w:bidi="ar-SA"/>
          <w14:ligatures w14:val="none"/>
        </w:rPr>
        <w:t xml:space="preserve">") in Austria, Cechia, Danimarca, Germania, Irlanda, Italia, Lussemburgo, Malta, Norvegia, Paesi Bassi, Finlandia, Francia, Polonia, Spagna, Svezia e Svizzera e l'ammissione delle Obbligazioni alla negoziazione sul mercato regolamentato (regulierter Markt) della Borsa di Francoforte e del SIX Swiss Exchange. </w:t>
      </w:r>
      <w:r w:rsidRPr="000B5034">
        <w:rPr>
          <w:rFonts w:ascii="Times New Roman" w:eastAsia="MS Mincho" w:hAnsi="Times New Roman" w:cs="Times New Roman"/>
          <w:kern w:val="0"/>
          <w:sz w:val="20"/>
          <w:szCs w:val="20"/>
          <w:lang w:val="fr-FR" w:bidi="ar-SA"/>
          <w14:ligatures w14:val="none"/>
        </w:rPr>
        <w:t>Il Codice Internazionale di Identificazione dei Bond ("</w:t>
      </w:r>
      <w:r w:rsidRPr="000B5034">
        <w:rPr>
          <w:rFonts w:ascii="Times New Roman" w:eastAsia="MS Mincho" w:hAnsi="Times New Roman" w:cs="Times New Roman"/>
          <w:b/>
          <w:bCs/>
          <w:kern w:val="0"/>
          <w:sz w:val="20"/>
          <w:szCs w:val="20"/>
          <w:lang w:val="fr-FR" w:bidi="ar-SA"/>
          <w14:ligatures w14:val="none"/>
        </w:rPr>
        <w:t>ISIN</w:t>
      </w:r>
      <w:r w:rsidRPr="000B5034">
        <w:rPr>
          <w:rFonts w:ascii="Times New Roman" w:eastAsia="MS Mincho" w:hAnsi="Times New Roman" w:cs="Times New Roman"/>
          <w:kern w:val="0"/>
          <w:sz w:val="20"/>
          <w:szCs w:val="20"/>
          <w:lang w:val="fr-FR" w:bidi="ar-SA"/>
          <w14:ligatures w14:val="none"/>
        </w:rPr>
        <w:t xml:space="preserve">") è </w:t>
      </w:r>
      <w:r w:rsidRPr="000B5034">
        <w:rPr>
          <w:rFonts w:ascii="Times New Roman" w:eastAsia="Times New Roman" w:hAnsi="Times New Roman" w:cs="Times New Roman"/>
          <w:kern w:val="0"/>
          <w:sz w:val="20"/>
          <w:szCs w:val="20"/>
          <w:lang w:val="fr-FR" w:eastAsia="en-GB" w:bidi="ar-SA"/>
          <w14:ligatures w14:val="none"/>
        </w:rPr>
        <w:t>DE000A3G90G9</w:t>
      </w:r>
      <w:r w:rsidRPr="000B5034">
        <w:rPr>
          <w:rFonts w:ascii="Times New Roman" w:eastAsia="MS Mincho" w:hAnsi="Times New Roman" w:cs="Times New Roman"/>
          <w:kern w:val="0"/>
          <w:sz w:val="20"/>
          <w:szCs w:val="20"/>
          <w:lang w:val="fr-FR" w:bidi="ar-SA"/>
          <w14:ligatures w14:val="none"/>
        </w:rPr>
        <w:t>.</w:t>
      </w:r>
    </w:p>
    <w:p w14:paraId="5488A1C7" w14:textId="2D85167A" w:rsidR="00F1174B" w:rsidRPr="000B5034" w:rsidRDefault="00F1174B" w:rsidP="00F1174B">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kern w:val="0"/>
          <w:sz w:val="20"/>
          <w:szCs w:val="20"/>
          <w:lang w:val="fr-FR" w:bidi="ar-SA"/>
          <w14:ligatures w14:val="none"/>
        </w:rPr>
        <w:t>La data di approvazione del prospetto di base è il 21 novembre 2023 (il "</w:t>
      </w:r>
      <w:r w:rsidRPr="000B5034">
        <w:rPr>
          <w:rFonts w:ascii="Times New Roman" w:eastAsia="MS Mincho" w:hAnsi="Times New Roman" w:cs="Times New Roman"/>
          <w:b/>
          <w:bCs/>
          <w:kern w:val="0"/>
          <w:sz w:val="20"/>
          <w:szCs w:val="20"/>
          <w:lang w:val="fr-FR" w:bidi="ar-SA"/>
          <w14:ligatures w14:val="none"/>
        </w:rPr>
        <w:t>Prospetto di base</w:t>
      </w:r>
      <w:r w:rsidRPr="000B5034">
        <w:rPr>
          <w:rFonts w:ascii="Times New Roman" w:eastAsia="MS Mincho" w:hAnsi="Times New Roman" w:cs="Times New Roman"/>
          <w:kern w:val="0"/>
          <w:sz w:val="20"/>
          <w:szCs w:val="20"/>
          <w:lang w:val="fr-FR" w:bidi="ar-SA"/>
          <w14:ligatures w14:val="none"/>
        </w:rPr>
        <w:t>") ed è stato approvato dalla Bundesanstalt für Finanzdienstleistungsaufsicht ("</w:t>
      </w:r>
      <w:r w:rsidRPr="000B5034">
        <w:rPr>
          <w:rFonts w:ascii="Times New Roman" w:eastAsia="MS Mincho" w:hAnsi="Times New Roman" w:cs="Times New Roman"/>
          <w:b/>
          <w:bCs/>
          <w:kern w:val="0"/>
          <w:sz w:val="20"/>
          <w:szCs w:val="20"/>
          <w:lang w:val="fr-FR" w:bidi="ar-SA"/>
          <w14:ligatures w14:val="none"/>
        </w:rPr>
        <w:t>BaFin</w:t>
      </w:r>
      <w:r w:rsidRPr="000B5034">
        <w:rPr>
          <w:rFonts w:ascii="Times New Roman" w:eastAsia="MS Mincho" w:hAnsi="Times New Roman" w:cs="Times New Roman"/>
          <w:kern w:val="0"/>
          <w:sz w:val="20"/>
          <w:szCs w:val="20"/>
          <w:lang w:val="fr-FR" w:bidi="ar-SA"/>
          <w14:ligatures w14:val="none"/>
        </w:rPr>
        <w:t xml:space="preserve">"), MarieCurie-Str. </w:t>
      </w:r>
      <w:r w:rsidRPr="000B5034">
        <w:rPr>
          <w:rFonts w:ascii="Times New Roman" w:eastAsia="MS Mincho" w:hAnsi="Times New Roman" w:cs="Times New Roman"/>
          <w:kern w:val="0"/>
          <w:sz w:val="20"/>
          <w:szCs w:val="20"/>
          <w:lang w:val="es-ES" w:bidi="ar-SA"/>
          <w14:ligatures w14:val="none"/>
        </w:rPr>
        <w:t xml:space="preserve">24-28, 60439 Francoforte sul Meno, Germania, e-mail: poststelle@bafin.de, telefono: +49 (0) 228 4108-0. </w:t>
      </w:r>
    </w:p>
    <w:p w14:paraId="2F098ED3" w14:textId="77777777" w:rsidR="00F1174B" w:rsidRPr="000B5034" w:rsidRDefault="00F1174B" w:rsidP="00F1174B">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kern w:val="0"/>
          <w:sz w:val="20"/>
          <w:szCs w:val="20"/>
          <w:lang w:val="es-ES" w:bidi="ar-SA"/>
          <w14:ligatures w14:val="none"/>
        </w:rPr>
        <w:t>La presente nota di sintesi deve essere letta come un'introduzione al presente Prospetto. Qualsiasi decisione di investire nei Bond dell'Emittente dovrebbe basarsi sull’esame del Prospetto completo da parte dell'investitore. Gli investitori potrebbero incorrere in una perdita totale o parziale del capitale investito nei Bond dell'Emittente. ETC Issuance GmbH con sede legale a Thurn- und Taxis-Platz 6, 60313 Francoforte sul Meno, Germania (l'</w:t>
      </w:r>
      <w:r w:rsidRPr="000B5034">
        <w:rPr>
          <w:rFonts w:ascii="Times New Roman" w:eastAsia="MS Mincho" w:hAnsi="Times New Roman" w:cs="Times New Roman"/>
          <w:b/>
          <w:bCs/>
          <w:kern w:val="0"/>
          <w:sz w:val="20"/>
          <w:szCs w:val="20"/>
          <w:lang w:val="es-ES" w:bidi="ar-SA"/>
          <w14:ligatures w14:val="none"/>
        </w:rPr>
        <w:t>"Emittente</w:t>
      </w:r>
      <w:r w:rsidRPr="000B5034">
        <w:rPr>
          <w:rFonts w:ascii="Times New Roman" w:eastAsia="MS Mincho" w:hAnsi="Times New Roman" w:cs="Times New Roman"/>
          <w:kern w:val="0"/>
          <w:sz w:val="20"/>
          <w:szCs w:val="20"/>
          <w:lang w:val="es-ES" w:bidi="ar-SA"/>
          <w14:ligatures w14:val="none"/>
        </w:rPr>
        <w:t xml:space="preserve">") si assume la responsabilità delle informazioni contenute nella presente nota di sintesi e nella relativa traduzione in italiano. L'Emittente può essere ritenuta responsabile, ma solo nel caso in cui la nota di sintesi sia fuorviante, imprecisa o incoerente, se letta insieme con le altre parti del Prospetto, o se non offre, se letta insieme con le altre parti del Prospetto, informazioni fondamentali per aiutare gli investitori al momento di valutare l’opportunità di investire in tali titoli. Qualora sia proposto un ricorso dinanzi all’organo giurisdizionale in merito alle informazioni contenute nel Prospetto, l'investitore ricorrente potrebbe essere tenuto, a norma del diritto nazionale degli Stati membri dello Spazio Economico Europeo, a sostenere le spese di traduzione del Prospetto prima dell'inizio di qualsiasi procedimento legale. </w:t>
      </w:r>
    </w:p>
    <w:p w14:paraId="7E0F9BC0" w14:textId="77777777" w:rsidR="00F1174B" w:rsidRPr="000B5034" w:rsidRDefault="00F1174B" w:rsidP="00F1174B">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kern w:val="0"/>
          <w:sz w:val="20"/>
          <w:szCs w:val="20"/>
          <w:lang w:val="es-ES" w:bidi="ar-SA"/>
          <w14:ligatures w14:val="none"/>
        </w:rPr>
        <w:t>Il codice identificativo del soggetto giuridico dell'Emittente ("</w:t>
      </w:r>
      <w:r w:rsidRPr="000B5034">
        <w:rPr>
          <w:rFonts w:ascii="Times New Roman" w:eastAsia="MS Mincho" w:hAnsi="Times New Roman" w:cs="Times New Roman"/>
          <w:b/>
          <w:bCs/>
          <w:kern w:val="0"/>
          <w:sz w:val="20"/>
          <w:szCs w:val="20"/>
          <w:lang w:val="es-ES" w:bidi="ar-SA"/>
          <w14:ligatures w14:val="none"/>
        </w:rPr>
        <w:t>LEI</w:t>
      </w:r>
      <w:r w:rsidRPr="000B5034">
        <w:rPr>
          <w:rFonts w:ascii="Times New Roman" w:eastAsia="MS Mincho" w:hAnsi="Times New Roman" w:cs="Times New Roman"/>
          <w:kern w:val="0"/>
          <w:sz w:val="20"/>
          <w:szCs w:val="20"/>
          <w:lang w:val="es-ES" w:bidi="ar-SA"/>
          <w14:ligatures w14:val="none"/>
        </w:rPr>
        <w:t>") è 875500BTZPKWM4X8R658.</w:t>
      </w:r>
    </w:p>
    <w:p w14:paraId="777192EC" w14:textId="097ACA9D" w:rsidR="00F1174B" w:rsidRPr="000B5034" w:rsidRDefault="00F1174B" w:rsidP="00841462">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kern w:val="0"/>
          <w:sz w:val="20"/>
          <w:szCs w:val="20"/>
          <w:lang w:val="es-ES" w:bidi="ar-SA"/>
          <w14:ligatures w14:val="none"/>
        </w:rPr>
        <w:t xml:space="preserve">Steubing AG Wertpapierhandelsbank, avente sede legale a Goethestrasse 29, 60313 Francoforte sul Meno, Germania, </w:t>
      </w:r>
      <w:r w:rsidR="00D33490" w:rsidRPr="000B5034">
        <w:rPr>
          <w:rFonts w:ascii="Times New Roman" w:eastAsia="MS Mincho" w:hAnsi="Times New Roman" w:cs="Times New Roman"/>
          <w:kern w:val="0"/>
          <w:sz w:val="20"/>
          <w:szCs w:val="20"/>
          <w:lang w:val="es-ES" w:bidi="ar-SA"/>
          <w14:ligatures w14:val="none"/>
        </w:rPr>
        <w:t>identificativa persona</w:t>
      </w:r>
      <w:r w:rsidRPr="000B5034">
        <w:rPr>
          <w:rFonts w:ascii="Times New Roman" w:eastAsia="MS Mincho" w:hAnsi="Times New Roman" w:cs="Times New Roman"/>
          <w:kern w:val="0"/>
          <w:sz w:val="20"/>
          <w:szCs w:val="20"/>
          <w:lang w:val="es-ES" w:bidi="ar-SA"/>
          <w14:ligatures w14:val="none"/>
        </w:rPr>
        <w:t xml:space="preserve"> giuridica (Legal Entity Identifier, LEI) 39120043LUI1WJS8IX30, ha fatto richiesta per poter ammettere i Bond alla negoziazione su un mercato regolamentato.</w:t>
      </w:r>
    </w:p>
    <w:p w14:paraId="47F08048" w14:textId="61FE226B" w:rsidR="00815EB2" w:rsidRPr="000B5034" w:rsidRDefault="009B3EE1" w:rsidP="00841462">
      <w:pPr>
        <w:keepNext/>
        <w:keepLines/>
        <w:numPr>
          <w:ilvl w:val="1"/>
          <w:numId w:val="1"/>
        </w:numPr>
        <w:spacing w:after="60" w:line="240" w:lineRule="auto"/>
        <w:jc w:val="both"/>
        <w:outlineLvl w:val="1"/>
        <w:rPr>
          <w:rFonts w:ascii="Times New Roman" w:eastAsia="Times New Roman" w:hAnsi="Times New Roman" w:cs="Times New Roman"/>
          <w:b/>
          <w:bCs/>
          <w:caps/>
          <w:color w:val="000000"/>
          <w:kern w:val="0"/>
          <w:sz w:val="20"/>
          <w:szCs w:val="20"/>
          <w:lang w:val="en-US" w:bidi="ar-SA"/>
          <w14:ligatures w14:val="none"/>
        </w:rPr>
      </w:pPr>
      <w:r w:rsidRPr="000B5034">
        <w:rPr>
          <w:rFonts w:ascii="Times New Roman" w:eastAsia="Times New Roman" w:hAnsi="Times New Roman" w:cs="Times New Roman"/>
          <w:b/>
          <w:bCs/>
          <w:caps/>
          <w:color w:val="000000"/>
          <w:kern w:val="0"/>
          <w:sz w:val="20"/>
          <w:szCs w:val="20"/>
          <w:lang w:bidi="ar-SA"/>
          <w14:ligatures w14:val="none"/>
        </w:rPr>
        <w:t>INFORMAZIONI FONDAMENTALI CONCERNENTI L’EMITTENTE</w:t>
      </w:r>
    </w:p>
    <w:p w14:paraId="70762D35" w14:textId="0E504A4D" w:rsidR="00815EB2" w:rsidRPr="000B5034" w:rsidRDefault="00DA14BB" w:rsidP="00841462">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n-US" w:bidi="ar-SA"/>
          <w14:ligatures w14:val="none"/>
        </w:rPr>
      </w:pPr>
      <w:r w:rsidRPr="000B5034">
        <w:rPr>
          <w:rFonts w:ascii="Times New Roman" w:eastAsia="Times New Roman" w:hAnsi="Times New Roman" w:cs="Times New Roman"/>
          <w:b/>
          <w:bCs/>
          <w:color w:val="000000"/>
          <w:kern w:val="0"/>
          <w:sz w:val="20"/>
          <w:szCs w:val="20"/>
          <w:lang w:val="en-US" w:bidi="ar-SA"/>
          <w14:ligatures w14:val="none"/>
        </w:rPr>
        <w:t xml:space="preserve">Chi è l’emittente dei titoli? </w:t>
      </w:r>
    </w:p>
    <w:p w14:paraId="37F0E3FB" w14:textId="4625CF82" w:rsidR="004E4037" w:rsidRPr="000B5034" w:rsidRDefault="004E4037" w:rsidP="004E4037">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kern w:val="0"/>
          <w:sz w:val="20"/>
          <w:szCs w:val="20"/>
          <w:lang w:val="en-US" w:bidi="ar-SA"/>
          <w14:ligatures w14:val="none"/>
        </w:rPr>
        <w:t xml:space="preserve">La denominazione legale e commerciale dell'emittente è ETC Issuance GmbH. Il codice LEI dell'Emittente è 875500BTZPKWM4X8R658. </w:t>
      </w:r>
      <w:r w:rsidRPr="000B5034">
        <w:rPr>
          <w:rFonts w:ascii="Times New Roman" w:eastAsia="MS Mincho" w:hAnsi="Times New Roman" w:cs="Times New Roman"/>
          <w:kern w:val="0"/>
          <w:sz w:val="20"/>
          <w:szCs w:val="20"/>
          <w:lang w:val="es-ES" w:bidi="ar-SA"/>
          <w14:ligatures w14:val="none"/>
        </w:rPr>
        <w:t>L'Emittente è costituita e opera secondo il diritto tedesco e ha la propria sede principale a Gridiron, One Pancras Square, Londra, N1C 4 AG, Regno Unito. L'indirizzo e la sede legale dell'Emittente è a Thurn- und Taxis-Platz 6, 60313 Francoforte sul Meno, Germania e l'Emittente è iscritta nel registro delle imprese del tribunale locale (</w:t>
      </w:r>
      <w:r w:rsidRPr="000B5034">
        <w:rPr>
          <w:rFonts w:ascii="Times New Roman" w:eastAsia="MS Mincho" w:hAnsi="Times New Roman" w:cs="Times New Roman"/>
          <w:i/>
          <w:iCs/>
          <w:kern w:val="0"/>
          <w:sz w:val="20"/>
          <w:szCs w:val="20"/>
          <w:lang w:val="es-ES" w:bidi="ar-SA"/>
          <w14:ligatures w14:val="none"/>
        </w:rPr>
        <w:t>Amtsgericht</w:t>
      </w:r>
      <w:r w:rsidRPr="000B5034">
        <w:rPr>
          <w:rFonts w:ascii="Times New Roman" w:eastAsia="MS Mincho" w:hAnsi="Times New Roman" w:cs="Times New Roman"/>
          <w:kern w:val="0"/>
          <w:sz w:val="20"/>
          <w:szCs w:val="20"/>
          <w:lang w:val="es-ES" w:bidi="ar-SA"/>
          <w14:ligatures w14:val="none"/>
        </w:rPr>
        <w:t>) di Francoforte sul Meno al numero HRB 116604. Il sito web dell'Emittente è https://www.etc-group.com e il numero di telefono è +49 69 8088 3728.</w:t>
      </w:r>
    </w:p>
    <w:p w14:paraId="2D3FF3B7" w14:textId="01D3166F" w:rsidR="00815EB2" w:rsidRPr="000B5034" w:rsidRDefault="00F411BC" w:rsidP="00F411BC">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0B5034">
        <w:rPr>
          <w:rFonts w:ascii="Times New Roman" w:eastAsia="Times New Roman" w:hAnsi="Times New Roman" w:cs="Times New Roman"/>
          <w:b/>
          <w:bCs/>
          <w:iCs/>
          <w:color w:val="000000"/>
          <w:kern w:val="0"/>
          <w:sz w:val="20"/>
          <w:szCs w:val="20"/>
          <w:lang w:val="en-GB" w:bidi="ar-SA"/>
          <w14:ligatures w14:val="none"/>
        </w:rPr>
        <w:t>Attività principali dell’Emittente</w:t>
      </w:r>
    </w:p>
    <w:p w14:paraId="05E60845" w14:textId="77777777" w:rsidR="00922A1A" w:rsidRPr="000B5034" w:rsidRDefault="00922A1A" w:rsidP="00922A1A">
      <w:pPr>
        <w:spacing w:after="60" w:line="240" w:lineRule="auto"/>
        <w:jc w:val="both"/>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L'attività principale dell'Emittente è l'emissione di bond che sono garantiti da criptovalute e altri beni digitali, inclusi bond che prevedono anche una funzione di staking. In relazione a ciò, l'Emittente utilizzerà i servizi di un Fornitore di Staking per impegnarsi nelle attività di staking in relazione alle criptovalute ricevute per la sottoscrizione dei bond emessi.</w:t>
      </w:r>
    </w:p>
    <w:p w14:paraId="5B6D7C64" w14:textId="7D1163FD" w:rsidR="00922A1A" w:rsidRPr="000B5034" w:rsidRDefault="00922A1A" w:rsidP="00922A1A">
      <w:pPr>
        <w:spacing w:after="60" w:line="240" w:lineRule="auto"/>
        <w:jc w:val="both"/>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Con l'emissione dei Bond, l'Emittente intende soddisfare la domanda degli investitori di titoli negoziabili tramite i quali è fatto un investimento in criptovalute e in altri beni digitali.</w:t>
      </w:r>
    </w:p>
    <w:p w14:paraId="41A43DEC" w14:textId="0DF73D8E" w:rsidR="00815EB2" w:rsidRPr="000B5034" w:rsidRDefault="00087E37" w:rsidP="00815EB2">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0B5034">
        <w:rPr>
          <w:rFonts w:ascii="Times New Roman" w:eastAsia="Times New Roman" w:hAnsi="Times New Roman" w:cs="Times New Roman"/>
          <w:b/>
          <w:bCs/>
          <w:iCs/>
          <w:color w:val="000000"/>
          <w:kern w:val="0"/>
          <w:sz w:val="20"/>
          <w:szCs w:val="20"/>
          <w:lang w:val="en-US" w:bidi="ar-SA"/>
          <w14:ligatures w14:val="none"/>
        </w:rPr>
        <w:t xml:space="preserve">Maggiori azionisti </w:t>
      </w:r>
    </w:p>
    <w:p w14:paraId="09DEA8B1" w14:textId="10F14F63" w:rsidR="00684CAA" w:rsidRPr="000B5034" w:rsidRDefault="00684CAA" w:rsidP="00684CAA">
      <w:pPr>
        <w:spacing w:after="60" w:line="240" w:lineRule="auto"/>
        <w:jc w:val="both"/>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Socio unico dell’Emittente è ETC Management Ltd ("</w:t>
      </w:r>
      <w:r w:rsidRPr="000B5034">
        <w:rPr>
          <w:rFonts w:ascii="Times New Roman" w:eastAsia="MS Mincho" w:hAnsi="Times New Roman" w:cs="Times New Roman"/>
          <w:b/>
          <w:bCs/>
          <w:kern w:val="0"/>
          <w:sz w:val="20"/>
          <w:szCs w:val="20"/>
          <w:lang w:val="en-US" w:bidi="ar-SA"/>
          <w14:ligatures w14:val="none"/>
        </w:rPr>
        <w:t>ETCM</w:t>
      </w:r>
      <w:r w:rsidRPr="000B5034">
        <w:rPr>
          <w:rFonts w:ascii="Times New Roman" w:eastAsia="MS Mincho" w:hAnsi="Times New Roman" w:cs="Times New Roman"/>
          <w:kern w:val="0"/>
          <w:sz w:val="20"/>
          <w:szCs w:val="20"/>
          <w:lang w:val="en-US" w:bidi="ar-SA"/>
          <w14:ligatures w14:val="none"/>
        </w:rPr>
        <w:t>"). ETC Holdings Ltd (la "</w:t>
      </w:r>
      <w:r w:rsidRPr="000B5034">
        <w:rPr>
          <w:rFonts w:ascii="Times New Roman" w:eastAsia="MS Mincho" w:hAnsi="Times New Roman" w:cs="Times New Roman"/>
          <w:b/>
          <w:bCs/>
          <w:kern w:val="0"/>
          <w:sz w:val="20"/>
          <w:szCs w:val="20"/>
          <w:lang w:val="en-US" w:bidi="ar-SA"/>
          <w14:ligatures w14:val="none"/>
        </w:rPr>
        <w:t>Capogruppo</w:t>
      </w:r>
      <w:r w:rsidRPr="000B5034">
        <w:rPr>
          <w:rFonts w:ascii="Times New Roman" w:eastAsia="MS Mincho" w:hAnsi="Times New Roman" w:cs="Times New Roman"/>
          <w:kern w:val="0"/>
          <w:sz w:val="20"/>
          <w:szCs w:val="20"/>
          <w:lang w:val="en-US" w:bidi="ar-SA"/>
          <w14:ligatures w14:val="none"/>
        </w:rPr>
        <w:t>") è socio unico di ETCM. Le azioni nella Capogruppo sono fortemente concentrate: (i) XTX Investments UK Limited ("</w:t>
      </w:r>
      <w:r w:rsidRPr="000B5034">
        <w:rPr>
          <w:rFonts w:ascii="Times New Roman" w:eastAsia="MS Mincho" w:hAnsi="Times New Roman" w:cs="Times New Roman"/>
          <w:b/>
          <w:bCs/>
          <w:kern w:val="0"/>
          <w:sz w:val="20"/>
          <w:szCs w:val="20"/>
          <w:lang w:val="en-US" w:bidi="ar-SA"/>
          <w14:ligatures w14:val="none"/>
        </w:rPr>
        <w:t>XTX</w:t>
      </w:r>
      <w:r w:rsidRPr="000B5034">
        <w:rPr>
          <w:rFonts w:ascii="Times New Roman" w:eastAsia="MS Mincho" w:hAnsi="Times New Roman" w:cs="Times New Roman"/>
          <w:kern w:val="0"/>
          <w:sz w:val="20"/>
          <w:szCs w:val="20"/>
          <w:lang w:val="en-US" w:bidi="ar-SA"/>
          <w14:ligatures w14:val="none"/>
        </w:rPr>
        <w:t>") e (ii) MLM Holdings Ltd ("</w:t>
      </w:r>
      <w:r w:rsidRPr="000B5034">
        <w:rPr>
          <w:rFonts w:ascii="Times New Roman" w:eastAsia="MS Mincho" w:hAnsi="Times New Roman" w:cs="Times New Roman"/>
          <w:b/>
          <w:bCs/>
          <w:kern w:val="0"/>
          <w:sz w:val="20"/>
          <w:szCs w:val="20"/>
          <w:lang w:val="en-US" w:bidi="ar-SA"/>
          <w14:ligatures w14:val="none"/>
        </w:rPr>
        <w:t>MLM</w:t>
      </w:r>
      <w:r w:rsidRPr="000B5034">
        <w:rPr>
          <w:rFonts w:ascii="Times New Roman" w:eastAsia="MS Mincho" w:hAnsi="Times New Roman" w:cs="Times New Roman"/>
          <w:kern w:val="0"/>
          <w:sz w:val="20"/>
          <w:szCs w:val="20"/>
          <w:lang w:val="en-US" w:bidi="ar-SA"/>
          <w14:ligatures w14:val="none"/>
        </w:rPr>
        <w:t>"), che insieme detengono più del 50,00% dei diritti di voto.</w:t>
      </w:r>
    </w:p>
    <w:p w14:paraId="726EB1D4" w14:textId="7748E4A0" w:rsidR="00815EB2" w:rsidRPr="000B5034" w:rsidRDefault="006A0B65" w:rsidP="00815EB2">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0B5034">
        <w:rPr>
          <w:rFonts w:ascii="Times New Roman" w:eastAsia="Times New Roman" w:hAnsi="Times New Roman" w:cs="Times New Roman"/>
          <w:b/>
          <w:bCs/>
          <w:iCs/>
          <w:color w:val="000000"/>
          <w:kern w:val="0"/>
          <w:sz w:val="20"/>
          <w:szCs w:val="20"/>
          <w:lang w:val="en-US" w:bidi="ar-SA"/>
          <w14:ligatures w14:val="none"/>
        </w:rPr>
        <w:t>Principali amministratori delegati</w:t>
      </w:r>
    </w:p>
    <w:p w14:paraId="1BA9112C" w14:textId="49B0345D" w:rsidR="00815EB2" w:rsidRPr="000B5034" w:rsidRDefault="00684CAA" w:rsidP="00815EB2">
      <w:pPr>
        <w:spacing w:after="60" w:line="240" w:lineRule="auto"/>
        <w:ind w:left="720" w:hanging="720"/>
        <w:jc w:val="both"/>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L'Emittente è gestito dai suoi amministratori delegati Leyla Sharifullina e Timothy Bevan.</w:t>
      </w:r>
    </w:p>
    <w:p w14:paraId="400481E7" w14:textId="3EEDA57A" w:rsidR="00815EB2" w:rsidRPr="000B5034" w:rsidRDefault="00684CAA" w:rsidP="00815EB2">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0B5034">
        <w:rPr>
          <w:rFonts w:ascii="Times New Roman" w:eastAsia="Times New Roman" w:hAnsi="Times New Roman" w:cs="Times New Roman"/>
          <w:b/>
          <w:bCs/>
          <w:iCs/>
          <w:color w:val="000000"/>
          <w:kern w:val="0"/>
          <w:sz w:val="20"/>
          <w:szCs w:val="20"/>
          <w:lang w:val="en-US" w:bidi="ar-SA"/>
          <w14:ligatures w14:val="none"/>
        </w:rPr>
        <w:t>Revisori legali</w:t>
      </w:r>
    </w:p>
    <w:p w14:paraId="15DDFD66" w14:textId="77777777" w:rsidR="009239AD" w:rsidRPr="000B5034" w:rsidRDefault="009239AD" w:rsidP="009239AD">
      <w:pPr>
        <w:spacing w:after="60" w:line="240" w:lineRule="auto"/>
        <w:jc w:val="both"/>
        <w:rPr>
          <w:rFonts w:ascii="Times New Roman" w:eastAsia="MS Mincho" w:hAnsi="Times New Roman" w:cs="Times New Roman"/>
          <w:kern w:val="0"/>
          <w:sz w:val="20"/>
          <w:szCs w:val="20"/>
          <w:lang w:bidi="ar-SA"/>
          <w14:ligatures w14:val="none"/>
        </w:rPr>
      </w:pPr>
      <w:r w:rsidRPr="000B5034">
        <w:rPr>
          <w:rFonts w:ascii="Times New Roman" w:eastAsia="MS Mincho" w:hAnsi="Times New Roman" w:cs="Times New Roman"/>
          <w:kern w:val="0"/>
          <w:sz w:val="20"/>
          <w:szCs w:val="20"/>
          <w:lang w:val="en-US" w:bidi="ar-SA"/>
          <w14:ligatures w14:val="none"/>
        </w:rPr>
        <w:t xml:space="preserve">BFS Revisions- und Treuhand GmbH Wirtschaftsprüfungsgesellschaft, con sede legale a Berliner Straße 75, 63065 Offenbach am Main, Germania, è stata nominata revisore legale dell'Emittente per l'esercizio finanziario chiuso il 31 dicembre 2021. </w:t>
      </w:r>
      <w:r w:rsidRPr="000B5034">
        <w:rPr>
          <w:rFonts w:ascii="Times New Roman" w:eastAsia="MS Mincho" w:hAnsi="Times New Roman" w:cs="Times New Roman"/>
          <w:kern w:val="0"/>
          <w:sz w:val="20"/>
          <w:szCs w:val="20"/>
          <w:lang w:bidi="ar-SA"/>
          <w14:ligatures w14:val="none"/>
        </w:rPr>
        <w:t>BFS Revisions- und Treuhand GmbH Wirtschaftsprüfungsgesellschaft è membro della Camera dei dottori commercialisti tedeschi (</w:t>
      </w:r>
      <w:r w:rsidRPr="000B5034">
        <w:rPr>
          <w:rFonts w:ascii="Times New Roman" w:eastAsia="MS Mincho" w:hAnsi="Times New Roman" w:cs="Times New Roman"/>
          <w:i/>
          <w:iCs/>
          <w:kern w:val="0"/>
          <w:sz w:val="20"/>
          <w:szCs w:val="20"/>
          <w:lang w:bidi="ar-SA"/>
          <w14:ligatures w14:val="none"/>
        </w:rPr>
        <w:t>Wirtschaftsprüferkammer</w:t>
      </w:r>
      <w:r w:rsidRPr="000B5034">
        <w:rPr>
          <w:rFonts w:ascii="Times New Roman" w:eastAsia="MS Mincho" w:hAnsi="Times New Roman" w:cs="Times New Roman"/>
          <w:kern w:val="0"/>
          <w:sz w:val="20"/>
          <w:szCs w:val="20"/>
          <w:lang w:bidi="ar-SA"/>
          <w14:ligatures w14:val="none"/>
        </w:rPr>
        <w:t>).</w:t>
      </w:r>
    </w:p>
    <w:p w14:paraId="6DC7DC71" w14:textId="07396EA3" w:rsidR="009239AD" w:rsidRPr="000B5034" w:rsidRDefault="009239AD" w:rsidP="009239AD">
      <w:pPr>
        <w:spacing w:after="60" w:line="240" w:lineRule="auto"/>
        <w:jc w:val="both"/>
        <w:rPr>
          <w:rFonts w:ascii="Times New Roman" w:eastAsia="MS Mincho" w:hAnsi="Times New Roman" w:cs="Times New Roman"/>
          <w:kern w:val="0"/>
          <w:sz w:val="20"/>
          <w:szCs w:val="20"/>
          <w:lang w:bidi="ar-SA"/>
          <w14:ligatures w14:val="none"/>
        </w:rPr>
      </w:pPr>
      <w:r w:rsidRPr="000B5034">
        <w:rPr>
          <w:rFonts w:ascii="Times New Roman" w:eastAsia="MS Mincho" w:hAnsi="Times New Roman" w:cs="Times New Roman"/>
          <w:kern w:val="0"/>
          <w:sz w:val="20"/>
          <w:szCs w:val="20"/>
          <w:lang w:bidi="ar-SA"/>
          <w14:ligatures w14:val="none"/>
        </w:rPr>
        <w:t>Per l'esercizio finanziario terminato il 31 dicembre 2022, Deloitte GmbH Wirtschaftsprüfungsgesellschaft, con sede legale a Europa-Allee 91, 60486 Francoforte sul Meno, Germania, sono stati i revisori legali dell'Emittente. Deloitte GmbH Wirtschaftsprüfungsgesellschaft è membro della Camera dei dottori commercialisti tedeschi (</w:t>
      </w:r>
      <w:r w:rsidRPr="000B5034">
        <w:rPr>
          <w:rFonts w:ascii="Times New Roman" w:eastAsia="MS Mincho" w:hAnsi="Times New Roman" w:cs="Times New Roman"/>
          <w:i/>
          <w:iCs/>
          <w:kern w:val="0"/>
          <w:sz w:val="20"/>
          <w:szCs w:val="20"/>
          <w:lang w:bidi="ar-SA"/>
          <w14:ligatures w14:val="none"/>
        </w:rPr>
        <w:t>Wirtschaftsprüferkammer</w:t>
      </w:r>
      <w:r w:rsidRPr="000B5034">
        <w:rPr>
          <w:rFonts w:ascii="Times New Roman" w:eastAsia="MS Mincho" w:hAnsi="Times New Roman" w:cs="Times New Roman"/>
          <w:kern w:val="0"/>
          <w:sz w:val="20"/>
          <w:szCs w:val="20"/>
          <w:lang w:bidi="ar-SA"/>
          <w14:ligatures w14:val="none"/>
        </w:rPr>
        <w:t>).</w:t>
      </w:r>
    </w:p>
    <w:p w14:paraId="4D5C2187" w14:textId="0AE02D78" w:rsidR="00815EB2" w:rsidRPr="000B5034" w:rsidRDefault="004B5C82" w:rsidP="004B5C82">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n-US" w:bidi="ar-SA"/>
          <w14:ligatures w14:val="none"/>
        </w:rPr>
      </w:pPr>
      <w:r w:rsidRPr="000B5034">
        <w:rPr>
          <w:rFonts w:ascii="Times New Roman" w:eastAsia="Times New Roman" w:hAnsi="Times New Roman" w:cs="Times New Roman"/>
          <w:b/>
          <w:bCs/>
          <w:color w:val="000000"/>
          <w:kern w:val="0"/>
          <w:sz w:val="20"/>
          <w:szCs w:val="20"/>
          <w:lang w:bidi="ar-SA"/>
          <w14:ligatures w14:val="none"/>
        </w:rPr>
        <w:lastRenderedPageBreak/>
        <w:t>Quali sono le informazioni finanziarie fondamentali relative all'emittente?</w:t>
      </w:r>
    </w:p>
    <w:p w14:paraId="083768B2" w14:textId="4864B90C" w:rsidR="00792E1F" w:rsidRPr="000B5034" w:rsidRDefault="00792E1F" w:rsidP="00F22E0C">
      <w:pPr>
        <w:spacing w:after="60" w:line="240" w:lineRule="auto"/>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Le informazioni finanziarie dell'Emittente sono incluse nei bilanci annuali dell'Emittente al 31 dicembre 2021 e al 31 dicembre 2022 (collettivamente, i "</w:t>
      </w:r>
      <w:r w:rsidRPr="000B5034">
        <w:rPr>
          <w:rFonts w:ascii="Times New Roman" w:eastAsia="MS Mincho" w:hAnsi="Times New Roman" w:cs="Times New Roman"/>
          <w:b/>
          <w:bCs/>
          <w:kern w:val="0"/>
          <w:sz w:val="20"/>
          <w:szCs w:val="20"/>
          <w:lang w:val="en-US" w:bidi="ar-SA"/>
          <w14:ligatures w14:val="none"/>
        </w:rPr>
        <w:t>Bilanci annuali</w:t>
      </w:r>
      <w:r w:rsidRPr="000B5034">
        <w:rPr>
          <w:rFonts w:ascii="Times New Roman" w:eastAsia="MS Mincho" w:hAnsi="Times New Roman" w:cs="Times New Roman"/>
          <w:kern w:val="0"/>
          <w:sz w:val="20"/>
          <w:szCs w:val="20"/>
          <w:lang w:val="en-US" w:bidi="ar-SA"/>
          <w14:ligatures w14:val="none"/>
        </w:rPr>
        <w:t>"), nonché nei bilanci semestrali dell'Emittente al 30 giugno 2022 e al 30 giugno 2023 (</w:t>
      </w:r>
      <w:r w:rsidR="005301F1" w:rsidRPr="000B5034">
        <w:rPr>
          <w:rFonts w:ascii="Times New Roman" w:eastAsia="MS Mincho" w:hAnsi="Times New Roman" w:cs="Times New Roman"/>
          <w:kern w:val="0"/>
          <w:sz w:val="20"/>
          <w:szCs w:val="20"/>
          <w:lang w:val="en-US" w:bidi="ar-SA"/>
          <w14:ligatures w14:val="none"/>
        </w:rPr>
        <w:t>i “</w:t>
      </w:r>
      <w:r w:rsidR="005301F1" w:rsidRPr="000B5034">
        <w:rPr>
          <w:rFonts w:ascii="Times New Roman" w:eastAsia="MS Mincho" w:hAnsi="Times New Roman" w:cs="Times New Roman"/>
          <w:b/>
          <w:bCs/>
          <w:kern w:val="0"/>
          <w:sz w:val="20"/>
          <w:szCs w:val="20"/>
          <w:lang w:val="en-US" w:bidi="ar-SA"/>
          <w14:ligatures w14:val="none"/>
        </w:rPr>
        <w:t>Bilanci sem</w:t>
      </w:r>
      <w:r w:rsidR="003A3611" w:rsidRPr="000B5034">
        <w:rPr>
          <w:rFonts w:ascii="Times New Roman" w:eastAsia="MS Mincho" w:hAnsi="Times New Roman" w:cs="Times New Roman"/>
          <w:b/>
          <w:bCs/>
          <w:kern w:val="0"/>
          <w:sz w:val="20"/>
          <w:szCs w:val="20"/>
          <w:lang w:val="en-US" w:bidi="ar-SA"/>
          <w14:ligatures w14:val="none"/>
        </w:rPr>
        <w:t>estrali</w:t>
      </w:r>
      <w:r w:rsidR="003A3611" w:rsidRPr="000B5034">
        <w:rPr>
          <w:rFonts w:ascii="Times New Roman" w:eastAsia="MS Mincho" w:hAnsi="Times New Roman" w:cs="Times New Roman"/>
          <w:kern w:val="0"/>
          <w:sz w:val="20"/>
          <w:szCs w:val="20"/>
          <w:lang w:val="en-US" w:bidi="ar-SA"/>
          <w14:ligatures w14:val="none"/>
        </w:rPr>
        <w:t xml:space="preserve">”, e </w:t>
      </w:r>
      <w:r w:rsidRPr="000B5034">
        <w:rPr>
          <w:rFonts w:ascii="Times New Roman" w:eastAsia="MS Mincho" w:hAnsi="Times New Roman" w:cs="Times New Roman"/>
          <w:kern w:val="0"/>
          <w:sz w:val="20"/>
          <w:szCs w:val="20"/>
          <w:lang w:val="en-US" w:bidi="ar-SA"/>
          <w14:ligatures w14:val="none"/>
        </w:rPr>
        <w:t>insieme ai Bilanci annuali, il "</w:t>
      </w:r>
      <w:r w:rsidRPr="000B5034">
        <w:rPr>
          <w:rFonts w:ascii="Times New Roman" w:eastAsia="MS Mincho" w:hAnsi="Times New Roman" w:cs="Times New Roman"/>
          <w:b/>
          <w:bCs/>
          <w:kern w:val="0"/>
          <w:sz w:val="20"/>
          <w:szCs w:val="20"/>
          <w:lang w:val="en-US" w:bidi="ar-SA"/>
          <w14:ligatures w14:val="none"/>
        </w:rPr>
        <w:t>Bilancio</w:t>
      </w:r>
      <w:r w:rsidRPr="000B5034">
        <w:rPr>
          <w:rFonts w:ascii="Times New Roman" w:eastAsia="MS Mincho" w:hAnsi="Times New Roman" w:cs="Times New Roman"/>
          <w:kern w:val="0"/>
          <w:sz w:val="20"/>
          <w:szCs w:val="20"/>
          <w:lang w:val="en-US" w:bidi="ar-SA"/>
          <w14:ligatures w14:val="none"/>
        </w:rPr>
        <w:t>").</w:t>
      </w:r>
    </w:p>
    <w:p w14:paraId="4330C707" w14:textId="32F05B4C" w:rsidR="00792E1F" w:rsidRPr="000B5034" w:rsidRDefault="00792E1F" w:rsidP="00F22E0C">
      <w:pPr>
        <w:spacing w:after="60" w:line="240" w:lineRule="auto"/>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Il Bilancio è stato redatto in conformità agli International Financial Reporting Standards ("</w:t>
      </w:r>
      <w:r w:rsidRPr="000B5034">
        <w:rPr>
          <w:rFonts w:ascii="Times New Roman" w:eastAsia="MS Mincho" w:hAnsi="Times New Roman" w:cs="Times New Roman"/>
          <w:b/>
          <w:bCs/>
          <w:kern w:val="0"/>
          <w:sz w:val="20"/>
          <w:szCs w:val="20"/>
          <w:lang w:val="en-US" w:bidi="ar-SA"/>
          <w14:ligatures w14:val="none"/>
        </w:rPr>
        <w:t>IFRS</w:t>
      </w:r>
      <w:r w:rsidRPr="000B5034">
        <w:rPr>
          <w:rFonts w:ascii="Times New Roman" w:eastAsia="MS Mincho" w:hAnsi="Times New Roman" w:cs="Times New Roman"/>
          <w:kern w:val="0"/>
          <w:sz w:val="20"/>
          <w:szCs w:val="20"/>
          <w:lang w:val="en-US" w:bidi="ar-SA"/>
          <w14:ligatures w14:val="none"/>
        </w:rPr>
        <w:t>") adottati nell'Unione europea (l'"</w:t>
      </w:r>
      <w:r w:rsidRPr="000B5034">
        <w:rPr>
          <w:rFonts w:ascii="Times New Roman" w:eastAsia="MS Mincho" w:hAnsi="Times New Roman" w:cs="Times New Roman"/>
          <w:b/>
          <w:bCs/>
          <w:kern w:val="0"/>
          <w:sz w:val="20"/>
          <w:szCs w:val="20"/>
          <w:lang w:val="en-US" w:bidi="ar-SA"/>
          <w14:ligatures w14:val="none"/>
        </w:rPr>
        <w:t>UE</w:t>
      </w:r>
      <w:r w:rsidRPr="000B5034">
        <w:rPr>
          <w:rFonts w:ascii="Times New Roman" w:eastAsia="MS Mincho" w:hAnsi="Times New Roman" w:cs="Times New Roman"/>
          <w:kern w:val="0"/>
          <w:sz w:val="20"/>
          <w:szCs w:val="20"/>
          <w:lang w:val="en-US" w:bidi="ar-SA"/>
          <w14:ligatures w14:val="none"/>
        </w:rPr>
        <w:t>").</w:t>
      </w:r>
    </w:p>
    <w:p w14:paraId="3BBA1754" w14:textId="3F0FC567" w:rsidR="00792E1F" w:rsidRPr="000B5034" w:rsidRDefault="00792E1F" w:rsidP="00F22E0C">
      <w:pPr>
        <w:spacing w:after="60" w:line="240" w:lineRule="auto"/>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I Bilanci annuali sono stati sottoposti a revisione ed è stata pubblicata una relazione di revisione non qualificata. Il Bilancio Interinale non è stato sottoposto a revisione né è stato verificato dai revisori dell’Emittente.</w:t>
      </w:r>
    </w:p>
    <w:p w14:paraId="751FBADF" w14:textId="6D1DB878" w:rsidR="00792E1F" w:rsidRPr="000B5034" w:rsidRDefault="00792E1F" w:rsidP="00F22E0C">
      <w:pPr>
        <w:spacing w:after="60" w:line="240" w:lineRule="auto"/>
        <w:jc w:val="both"/>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Le seguenti informazioni finanziarie selezionate si basano e sono state estratte dai Bilanci.</w:t>
      </w:r>
    </w:p>
    <w:p w14:paraId="120508CB" w14:textId="77777777" w:rsidR="008017EE" w:rsidRPr="000B5034" w:rsidRDefault="008017EE" w:rsidP="00F22E0C">
      <w:pPr>
        <w:spacing w:after="60" w:line="240" w:lineRule="auto"/>
        <w:jc w:val="both"/>
        <w:rPr>
          <w:rFonts w:ascii="Times New Roman" w:eastAsia="MS Mincho" w:hAnsi="Times New Roman" w:cs="Times New Roman"/>
          <w:kern w:val="0"/>
          <w:sz w:val="20"/>
          <w:szCs w:val="20"/>
          <w:lang w:val="en-US" w:bidi="ar-SA"/>
          <w14:ligatures w14:val="none"/>
        </w:rPr>
      </w:pPr>
    </w:p>
    <w:tbl>
      <w:tblPr>
        <w:tblStyle w:val="TableGrid1"/>
        <w:tblW w:w="9049" w:type="dxa"/>
        <w:tblInd w:w="28" w:type="dxa"/>
        <w:tblLook w:val="04A0" w:firstRow="1" w:lastRow="0" w:firstColumn="1" w:lastColumn="0" w:noHBand="0" w:noVBand="1"/>
      </w:tblPr>
      <w:tblGrid>
        <w:gridCol w:w="2666"/>
        <w:gridCol w:w="1595"/>
        <w:gridCol w:w="1596"/>
        <w:gridCol w:w="1596"/>
        <w:gridCol w:w="1596"/>
      </w:tblGrid>
      <w:tr w:rsidR="00815EB2" w:rsidRPr="000B5034" w14:paraId="0FAE12FF" w14:textId="77777777" w:rsidTr="00815EB2">
        <w:tc>
          <w:tcPr>
            <w:tcW w:w="2666" w:type="dxa"/>
            <w:tcBorders>
              <w:top w:val="nil"/>
              <w:left w:val="nil"/>
            </w:tcBorders>
          </w:tcPr>
          <w:p w14:paraId="0993DA33" w14:textId="56813679" w:rsidR="00815EB2" w:rsidRPr="000B5034" w:rsidRDefault="005B2D0D" w:rsidP="005B2D0D">
            <w:pPr>
              <w:spacing w:after="180"/>
              <w:rPr>
                <w:rFonts w:ascii="Times New Roman" w:eastAsia="Calibri" w:hAnsi="Times New Roman" w:cs="Times New Roman"/>
                <w:b/>
                <w:sz w:val="20"/>
                <w:szCs w:val="20"/>
              </w:rPr>
            </w:pPr>
            <w:r w:rsidRPr="000B5034">
              <w:rPr>
                <w:rFonts w:ascii="Times New Roman" w:eastAsia="Calibri" w:hAnsi="Times New Roman" w:cs="Times New Roman"/>
                <w:b/>
                <w:sz w:val="20"/>
                <w:szCs w:val="20"/>
                <w:lang w:val="de-DE"/>
              </w:rPr>
              <w:t>Conto Economico</w:t>
            </w:r>
            <w:r w:rsidR="00815EB2" w:rsidRPr="000B5034">
              <w:rPr>
                <w:rFonts w:ascii="Times New Roman" w:eastAsia="Calibri" w:hAnsi="Times New Roman" w:cs="Times New Roman"/>
                <w:b/>
                <w:sz w:val="20"/>
                <w:szCs w:val="20"/>
              </w:rPr>
              <w:br/>
              <w:t>(in EUR)</w:t>
            </w:r>
          </w:p>
        </w:tc>
        <w:tc>
          <w:tcPr>
            <w:tcW w:w="1595" w:type="dxa"/>
            <w:shd w:val="clear" w:color="auto" w:fill="D9D9D9"/>
          </w:tcPr>
          <w:p w14:paraId="08268403" w14:textId="4E0188A8" w:rsidR="00815EB2" w:rsidRPr="000B5034" w:rsidRDefault="00917EE0" w:rsidP="00A0745F">
            <w:pPr>
              <w:spacing w:after="180"/>
              <w:jc w:val="right"/>
              <w:rPr>
                <w:rFonts w:ascii="Times New Roman" w:eastAsia="Calibri" w:hAnsi="Times New Roman" w:cs="Times New Roman"/>
                <w:b/>
                <w:sz w:val="20"/>
                <w:szCs w:val="20"/>
              </w:rPr>
            </w:pPr>
            <w:r w:rsidRPr="000B5034">
              <w:rPr>
                <w:rFonts w:ascii="Times New Roman" w:eastAsia="Calibri" w:hAnsi="Times New Roman" w:cs="Times New Roman"/>
                <w:b/>
                <w:sz w:val="20"/>
                <w:szCs w:val="20"/>
              </w:rPr>
              <w:t>Sei mesi chiusi</w:t>
            </w:r>
            <w:r w:rsidR="00815EB2" w:rsidRPr="000B5034">
              <w:rPr>
                <w:rFonts w:ascii="Times New Roman" w:eastAsia="Calibri" w:hAnsi="Times New Roman" w:cs="Times New Roman"/>
                <w:b/>
                <w:sz w:val="20"/>
                <w:szCs w:val="20"/>
              </w:rPr>
              <w:t xml:space="preserve"> </w:t>
            </w:r>
            <w:r w:rsidR="00815EB2" w:rsidRPr="000B5034">
              <w:rPr>
                <w:rFonts w:ascii="Times New Roman" w:eastAsia="Calibri" w:hAnsi="Times New Roman" w:cs="Times New Roman"/>
                <w:b/>
                <w:sz w:val="20"/>
                <w:szCs w:val="20"/>
              </w:rPr>
              <w:br/>
            </w:r>
            <w:r w:rsidR="00A0745F" w:rsidRPr="000B5034">
              <w:rPr>
                <w:rFonts w:ascii="Times New Roman" w:eastAsia="Calibri" w:hAnsi="Times New Roman" w:cs="Times New Roman"/>
                <w:b/>
                <w:sz w:val="20"/>
                <w:szCs w:val="20"/>
              </w:rPr>
              <w:t>30 giugno 2023</w:t>
            </w:r>
            <w:r w:rsidR="00815EB2" w:rsidRPr="000B5034">
              <w:rPr>
                <w:rFonts w:ascii="Times New Roman" w:eastAsia="Calibri" w:hAnsi="Times New Roman" w:cs="Times New Roman"/>
                <w:b/>
                <w:sz w:val="20"/>
                <w:szCs w:val="20"/>
              </w:rPr>
              <w:br/>
              <w:t>(</w:t>
            </w:r>
            <w:r w:rsidR="00494732" w:rsidRPr="000B5034">
              <w:rPr>
                <w:rFonts w:ascii="Times New Roman" w:eastAsia="Calibri" w:hAnsi="Times New Roman" w:cs="Times New Roman"/>
                <w:b/>
                <w:sz w:val="20"/>
                <w:szCs w:val="20"/>
              </w:rPr>
              <w:t>non revisionato</w:t>
            </w:r>
            <w:r w:rsidR="00815EB2" w:rsidRPr="000B5034">
              <w:rPr>
                <w:rFonts w:ascii="Times New Roman" w:eastAsia="Calibri" w:hAnsi="Times New Roman" w:cs="Times New Roman"/>
                <w:b/>
                <w:sz w:val="20"/>
                <w:szCs w:val="20"/>
              </w:rPr>
              <w:t>)</w:t>
            </w:r>
          </w:p>
        </w:tc>
        <w:tc>
          <w:tcPr>
            <w:tcW w:w="1596" w:type="dxa"/>
            <w:shd w:val="clear" w:color="auto" w:fill="D9D9D9"/>
          </w:tcPr>
          <w:p w14:paraId="48A32462" w14:textId="532E8B52" w:rsidR="00815EB2" w:rsidRPr="000B5034" w:rsidRDefault="00917EE0" w:rsidP="00A0745F">
            <w:pPr>
              <w:spacing w:after="180"/>
              <w:jc w:val="right"/>
              <w:rPr>
                <w:rFonts w:ascii="Times New Roman" w:eastAsia="Calibri" w:hAnsi="Times New Roman" w:cs="Times New Roman"/>
                <w:b/>
                <w:sz w:val="20"/>
                <w:szCs w:val="20"/>
              </w:rPr>
            </w:pPr>
            <w:r w:rsidRPr="000B5034">
              <w:rPr>
                <w:rFonts w:ascii="Times New Roman" w:eastAsia="Calibri" w:hAnsi="Times New Roman" w:cs="Times New Roman"/>
                <w:b/>
                <w:sz w:val="20"/>
                <w:szCs w:val="20"/>
              </w:rPr>
              <w:t>Sei mesi chiusi</w:t>
            </w:r>
            <w:r w:rsidR="00815EB2" w:rsidRPr="000B5034">
              <w:rPr>
                <w:rFonts w:ascii="Times New Roman" w:eastAsia="Calibri" w:hAnsi="Times New Roman" w:cs="Times New Roman"/>
                <w:b/>
                <w:sz w:val="20"/>
                <w:szCs w:val="20"/>
              </w:rPr>
              <w:br/>
            </w:r>
            <w:r w:rsidR="00A0745F" w:rsidRPr="000B5034">
              <w:rPr>
                <w:rFonts w:ascii="Times New Roman" w:eastAsia="Calibri" w:hAnsi="Times New Roman" w:cs="Times New Roman"/>
                <w:b/>
                <w:sz w:val="20"/>
                <w:szCs w:val="20"/>
              </w:rPr>
              <w:t>30 giugno 2023</w:t>
            </w:r>
            <w:r w:rsidR="00815EB2" w:rsidRPr="000B5034">
              <w:rPr>
                <w:rFonts w:ascii="Times New Roman" w:eastAsia="Calibri" w:hAnsi="Times New Roman" w:cs="Times New Roman"/>
                <w:b/>
                <w:sz w:val="20"/>
                <w:szCs w:val="20"/>
              </w:rPr>
              <w:br/>
              <w:t>(</w:t>
            </w:r>
            <w:r w:rsidR="00494732" w:rsidRPr="000B5034">
              <w:rPr>
                <w:rFonts w:ascii="Times New Roman" w:eastAsia="Calibri" w:hAnsi="Times New Roman" w:cs="Times New Roman"/>
                <w:b/>
                <w:sz w:val="20"/>
                <w:szCs w:val="20"/>
              </w:rPr>
              <w:t>non revisionato</w:t>
            </w:r>
            <w:r w:rsidR="00815EB2" w:rsidRPr="000B5034">
              <w:rPr>
                <w:rFonts w:ascii="Times New Roman" w:eastAsia="Calibri" w:hAnsi="Times New Roman" w:cs="Times New Roman"/>
                <w:b/>
                <w:sz w:val="20"/>
                <w:szCs w:val="20"/>
              </w:rPr>
              <w:t>)</w:t>
            </w:r>
          </w:p>
        </w:tc>
        <w:tc>
          <w:tcPr>
            <w:tcW w:w="1596" w:type="dxa"/>
            <w:shd w:val="clear" w:color="auto" w:fill="D9D9D9"/>
          </w:tcPr>
          <w:p w14:paraId="35B78D68" w14:textId="5F4B099B" w:rsidR="00815EB2" w:rsidRPr="000B5034" w:rsidRDefault="00815EB2" w:rsidP="00815EB2">
            <w:pPr>
              <w:spacing w:after="180"/>
              <w:jc w:val="right"/>
              <w:rPr>
                <w:rFonts w:ascii="Times New Roman" w:eastAsia="Calibri" w:hAnsi="Times New Roman" w:cs="Times New Roman"/>
                <w:b/>
                <w:sz w:val="20"/>
                <w:szCs w:val="20"/>
              </w:rPr>
            </w:pPr>
            <w:r w:rsidRPr="000B5034">
              <w:rPr>
                <w:rFonts w:ascii="Times New Roman" w:eastAsia="Calibri" w:hAnsi="Times New Roman" w:cs="Times New Roman"/>
                <w:b/>
                <w:sz w:val="20"/>
                <w:szCs w:val="20"/>
              </w:rPr>
              <w:t>2022</w:t>
            </w:r>
          </w:p>
        </w:tc>
        <w:tc>
          <w:tcPr>
            <w:tcW w:w="1596" w:type="dxa"/>
            <w:shd w:val="clear" w:color="auto" w:fill="D9D9D9"/>
          </w:tcPr>
          <w:p w14:paraId="5DB8A566" w14:textId="0DA1D542" w:rsidR="00815EB2" w:rsidRPr="000B5034" w:rsidRDefault="00815EB2" w:rsidP="00815EB2">
            <w:pPr>
              <w:spacing w:after="180"/>
              <w:jc w:val="right"/>
              <w:rPr>
                <w:rFonts w:ascii="Times New Roman" w:eastAsia="Calibri" w:hAnsi="Times New Roman" w:cs="Times New Roman"/>
                <w:b/>
                <w:sz w:val="20"/>
                <w:szCs w:val="20"/>
              </w:rPr>
            </w:pPr>
            <w:r w:rsidRPr="000B5034">
              <w:rPr>
                <w:rFonts w:ascii="Times New Roman" w:eastAsia="Calibri" w:hAnsi="Times New Roman" w:cs="Times New Roman"/>
                <w:b/>
                <w:sz w:val="20"/>
                <w:szCs w:val="20"/>
              </w:rPr>
              <w:t>2021</w:t>
            </w:r>
          </w:p>
        </w:tc>
      </w:tr>
      <w:tr w:rsidR="00815EB2" w:rsidRPr="000B5034" w14:paraId="30FD07C2" w14:textId="77777777" w:rsidTr="0040092D">
        <w:tc>
          <w:tcPr>
            <w:tcW w:w="2666" w:type="dxa"/>
          </w:tcPr>
          <w:p w14:paraId="241B8B6B" w14:textId="1D0EBCC6" w:rsidR="00815EB2" w:rsidRPr="000B5034" w:rsidRDefault="005B2D0D" w:rsidP="005B2D0D">
            <w:pPr>
              <w:spacing w:after="180"/>
              <w:rPr>
                <w:rFonts w:ascii="Times New Roman" w:eastAsia="Calibri" w:hAnsi="Times New Roman" w:cs="Times New Roman"/>
                <w:sz w:val="20"/>
                <w:szCs w:val="20"/>
              </w:rPr>
            </w:pPr>
            <w:r w:rsidRPr="000B5034">
              <w:rPr>
                <w:rFonts w:ascii="Times New Roman" w:eastAsia="Calibri" w:hAnsi="Times New Roman" w:cs="Times New Roman"/>
                <w:sz w:val="20"/>
                <w:szCs w:val="20"/>
                <w:lang w:val="de-DE"/>
              </w:rPr>
              <w:t>Utile/perdita d'esercizio</w:t>
            </w:r>
          </w:p>
        </w:tc>
        <w:tc>
          <w:tcPr>
            <w:tcW w:w="1595" w:type="dxa"/>
            <w:shd w:val="clear" w:color="auto" w:fill="auto"/>
          </w:tcPr>
          <w:p w14:paraId="4FC045FC" w14:textId="147EF755"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207,540</w:t>
            </w:r>
          </w:p>
        </w:tc>
        <w:tc>
          <w:tcPr>
            <w:tcW w:w="1596" w:type="dxa"/>
            <w:shd w:val="clear" w:color="auto" w:fill="auto"/>
          </w:tcPr>
          <w:p w14:paraId="1E49C4A4" w14:textId="65E32DC0"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280,349</w:t>
            </w:r>
          </w:p>
        </w:tc>
        <w:tc>
          <w:tcPr>
            <w:tcW w:w="1596" w:type="dxa"/>
            <w:shd w:val="clear" w:color="auto" w:fill="auto"/>
          </w:tcPr>
          <w:p w14:paraId="0F09973B" w14:textId="575F0F97"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142,298</w:t>
            </w:r>
          </w:p>
        </w:tc>
        <w:tc>
          <w:tcPr>
            <w:tcW w:w="1596" w:type="dxa"/>
            <w:shd w:val="clear" w:color="auto" w:fill="auto"/>
          </w:tcPr>
          <w:p w14:paraId="7DFB6921" w14:textId="74E602D2"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109,751</w:t>
            </w:r>
          </w:p>
        </w:tc>
      </w:tr>
    </w:tbl>
    <w:p w14:paraId="761F5F30" w14:textId="77777777" w:rsidR="00815EB2" w:rsidRPr="000B5034" w:rsidRDefault="00815EB2" w:rsidP="00815EB2">
      <w:pPr>
        <w:spacing w:after="0" w:line="240" w:lineRule="auto"/>
        <w:jc w:val="both"/>
        <w:rPr>
          <w:rFonts w:ascii="Times New Roman" w:eastAsia="MS Mincho" w:hAnsi="Times New Roman" w:cs="Times New Roman"/>
          <w:kern w:val="0"/>
          <w:sz w:val="20"/>
          <w:szCs w:val="20"/>
          <w:lang w:val="en-US" w:bidi="ar-SA"/>
          <w14:ligatures w14:val="none"/>
        </w:rPr>
      </w:pPr>
    </w:p>
    <w:tbl>
      <w:tblPr>
        <w:tblStyle w:val="TableGrid1"/>
        <w:tblW w:w="9044" w:type="dxa"/>
        <w:tblInd w:w="28" w:type="dxa"/>
        <w:tblLook w:val="04A0" w:firstRow="1" w:lastRow="0" w:firstColumn="1" w:lastColumn="0" w:noHBand="0" w:noVBand="1"/>
      </w:tblPr>
      <w:tblGrid>
        <w:gridCol w:w="2666"/>
        <w:gridCol w:w="1594"/>
        <w:gridCol w:w="1594"/>
        <w:gridCol w:w="1595"/>
        <w:gridCol w:w="1595"/>
      </w:tblGrid>
      <w:tr w:rsidR="00815EB2" w:rsidRPr="000B5034" w14:paraId="7ED2CD6B" w14:textId="77777777" w:rsidTr="00815EB2">
        <w:tc>
          <w:tcPr>
            <w:tcW w:w="2666" w:type="dxa"/>
            <w:tcBorders>
              <w:top w:val="nil"/>
              <w:left w:val="nil"/>
            </w:tcBorders>
          </w:tcPr>
          <w:p w14:paraId="2C9399BE" w14:textId="58B16E42" w:rsidR="00815EB2" w:rsidRPr="000B5034" w:rsidRDefault="005B2D0D" w:rsidP="005B2D0D">
            <w:pPr>
              <w:spacing w:after="180"/>
              <w:rPr>
                <w:rFonts w:ascii="Times New Roman" w:eastAsia="Calibri" w:hAnsi="Times New Roman" w:cs="Times New Roman"/>
                <w:b/>
                <w:sz w:val="20"/>
                <w:szCs w:val="20"/>
              </w:rPr>
            </w:pPr>
            <w:r w:rsidRPr="000B5034">
              <w:rPr>
                <w:rFonts w:ascii="Times New Roman" w:eastAsia="Calibri" w:hAnsi="Times New Roman" w:cs="Times New Roman"/>
                <w:b/>
                <w:sz w:val="20"/>
                <w:szCs w:val="20"/>
                <w:lang w:val="de-DE"/>
              </w:rPr>
              <w:t>Stato Patrimoniale</w:t>
            </w:r>
            <w:r w:rsidR="00815EB2" w:rsidRPr="000B5034">
              <w:rPr>
                <w:rFonts w:ascii="Times New Roman" w:eastAsia="Calibri" w:hAnsi="Times New Roman" w:cs="Times New Roman"/>
                <w:b/>
                <w:sz w:val="20"/>
                <w:szCs w:val="20"/>
              </w:rPr>
              <w:br/>
              <w:t>(in EUR)</w:t>
            </w:r>
          </w:p>
        </w:tc>
        <w:tc>
          <w:tcPr>
            <w:tcW w:w="1594" w:type="dxa"/>
            <w:shd w:val="clear" w:color="auto" w:fill="D9D9D9"/>
          </w:tcPr>
          <w:p w14:paraId="357DD7AE" w14:textId="700B536B" w:rsidR="00815EB2" w:rsidRPr="000B5034" w:rsidRDefault="00A0745F" w:rsidP="00A0745F">
            <w:pPr>
              <w:spacing w:after="180"/>
              <w:jc w:val="right"/>
              <w:rPr>
                <w:rFonts w:ascii="Times New Roman" w:eastAsia="Calibri" w:hAnsi="Times New Roman" w:cs="Times New Roman"/>
                <w:b/>
                <w:sz w:val="20"/>
                <w:szCs w:val="20"/>
              </w:rPr>
            </w:pPr>
            <w:r w:rsidRPr="000B5034">
              <w:rPr>
                <w:rFonts w:ascii="Times New Roman" w:eastAsia="Calibri" w:hAnsi="Times New Roman" w:cs="Times New Roman"/>
                <w:b/>
                <w:sz w:val="20"/>
                <w:szCs w:val="20"/>
                <w:lang w:val="de-DE"/>
              </w:rPr>
              <w:t>30 giugno</w:t>
            </w:r>
            <w:r w:rsidR="00815EB2" w:rsidRPr="000B5034">
              <w:rPr>
                <w:rFonts w:ascii="Times New Roman" w:eastAsia="Calibri" w:hAnsi="Times New Roman" w:cs="Times New Roman"/>
                <w:b/>
                <w:sz w:val="20"/>
                <w:szCs w:val="20"/>
              </w:rPr>
              <w:t xml:space="preserve"> 2023</w:t>
            </w:r>
            <w:r w:rsidR="00815EB2" w:rsidRPr="000B5034">
              <w:rPr>
                <w:rFonts w:ascii="Times New Roman" w:eastAsia="Calibri" w:hAnsi="Times New Roman" w:cs="Times New Roman"/>
                <w:b/>
                <w:sz w:val="20"/>
                <w:szCs w:val="20"/>
              </w:rPr>
              <w:br/>
              <w:t>(</w:t>
            </w:r>
            <w:r w:rsidR="00494732" w:rsidRPr="000B5034">
              <w:rPr>
                <w:rFonts w:ascii="Times New Roman" w:eastAsia="Calibri" w:hAnsi="Times New Roman" w:cs="Times New Roman"/>
                <w:b/>
                <w:sz w:val="20"/>
                <w:szCs w:val="20"/>
              </w:rPr>
              <w:t>non revisionato</w:t>
            </w:r>
            <w:r w:rsidR="00815EB2" w:rsidRPr="000B5034">
              <w:rPr>
                <w:rFonts w:ascii="Times New Roman" w:eastAsia="Calibri" w:hAnsi="Times New Roman" w:cs="Times New Roman"/>
                <w:b/>
                <w:sz w:val="20"/>
                <w:szCs w:val="20"/>
              </w:rPr>
              <w:t>)</w:t>
            </w:r>
          </w:p>
        </w:tc>
        <w:tc>
          <w:tcPr>
            <w:tcW w:w="1594" w:type="dxa"/>
            <w:shd w:val="clear" w:color="auto" w:fill="D9D9D9"/>
          </w:tcPr>
          <w:p w14:paraId="37C7F6E4" w14:textId="63BA806C" w:rsidR="00815EB2" w:rsidRPr="000B5034" w:rsidRDefault="00A0745F" w:rsidP="00A0745F">
            <w:pPr>
              <w:spacing w:after="180"/>
              <w:jc w:val="right"/>
              <w:rPr>
                <w:rFonts w:ascii="Times New Roman" w:eastAsia="Calibri" w:hAnsi="Times New Roman" w:cs="Times New Roman"/>
                <w:b/>
                <w:sz w:val="20"/>
                <w:szCs w:val="20"/>
              </w:rPr>
            </w:pPr>
            <w:r w:rsidRPr="000B5034">
              <w:rPr>
                <w:rFonts w:ascii="Times New Roman" w:eastAsia="Calibri" w:hAnsi="Times New Roman" w:cs="Times New Roman"/>
                <w:b/>
                <w:sz w:val="20"/>
                <w:szCs w:val="20"/>
                <w:lang w:val="de-DE"/>
              </w:rPr>
              <w:t xml:space="preserve">30 giugno </w:t>
            </w:r>
            <w:r w:rsidR="00815EB2" w:rsidRPr="000B5034">
              <w:rPr>
                <w:rFonts w:ascii="Times New Roman" w:eastAsia="Calibri" w:hAnsi="Times New Roman" w:cs="Times New Roman"/>
                <w:b/>
                <w:sz w:val="20"/>
                <w:szCs w:val="20"/>
              </w:rPr>
              <w:t>2022</w:t>
            </w:r>
            <w:r w:rsidR="00815EB2" w:rsidRPr="000B5034">
              <w:rPr>
                <w:rFonts w:ascii="Times New Roman" w:eastAsia="Calibri" w:hAnsi="Times New Roman" w:cs="Times New Roman"/>
                <w:b/>
                <w:sz w:val="20"/>
                <w:szCs w:val="20"/>
              </w:rPr>
              <w:br/>
              <w:t>(</w:t>
            </w:r>
            <w:r w:rsidR="00494732" w:rsidRPr="000B5034">
              <w:rPr>
                <w:rFonts w:ascii="Times New Roman" w:eastAsia="Calibri" w:hAnsi="Times New Roman" w:cs="Times New Roman"/>
                <w:b/>
                <w:sz w:val="20"/>
                <w:szCs w:val="20"/>
              </w:rPr>
              <w:t>non revisionato</w:t>
            </w:r>
            <w:r w:rsidR="00815EB2" w:rsidRPr="000B5034">
              <w:rPr>
                <w:rFonts w:ascii="Times New Roman" w:eastAsia="Calibri" w:hAnsi="Times New Roman" w:cs="Times New Roman"/>
                <w:b/>
                <w:sz w:val="20"/>
                <w:szCs w:val="20"/>
              </w:rPr>
              <w:t>)</w:t>
            </w:r>
          </w:p>
        </w:tc>
        <w:tc>
          <w:tcPr>
            <w:tcW w:w="1595" w:type="dxa"/>
            <w:shd w:val="clear" w:color="auto" w:fill="D9D9D9"/>
          </w:tcPr>
          <w:p w14:paraId="0D576A03" w14:textId="40885DCF" w:rsidR="00815EB2" w:rsidRPr="000B5034" w:rsidRDefault="00A0745F" w:rsidP="00A0745F">
            <w:pPr>
              <w:spacing w:after="180"/>
              <w:jc w:val="right"/>
              <w:rPr>
                <w:rFonts w:ascii="Times New Roman" w:eastAsia="Calibri" w:hAnsi="Times New Roman" w:cs="Times New Roman"/>
                <w:b/>
                <w:sz w:val="20"/>
                <w:szCs w:val="20"/>
              </w:rPr>
            </w:pPr>
            <w:r w:rsidRPr="000B5034">
              <w:rPr>
                <w:rFonts w:ascii="Times New Roman" w:eastAsia="Calibri" w:hAnsi="Times New Roman" w:cs="Times New Roman"/>
                <w:b/>
                <w:sz w:val="20"/>
                <w:szCs w:val="20"/>
                <w:lang w:val="de-DE"/>
              </w:rPr>
              <w:t xml:space="preserve">31 dicembre </w:t>
            </w:r>
            <w:r w:rsidR="00815EB2" w:rsidRPr="000B5034">
              <w:rPr>
                <w:rFonts w:ascii="Times New Roman" w:eastAsia="Calibri" w:hAnsi="Times New Roman" w:cs="Times New Roman"/>
                <w:b/>
                <w:sz w:val="20"/>
                <w:szCs w:val="20"/>
              </w:rPr>
              <w:t>2022</w:t>
            </w:r>
          </w:p>
        </w:tc>
        <w:tc>
          <w:tcPr>
            <w:tcW w:w="1595" w:type="dxa"/>
            <w:shd w:val="clear" w:color="auto" w:fill="D9D9D9"/>
          </w:tcPr>
          <w:p w14:paraId="6D8ABF1E" w14:textId="7F3E0671" w:rsidR="00815EB2" w:rsidRPr="000B5034" w:rsidRDefault="00A0745F" w:rsidP="00A0745F">
            <w:pPr>
              <w:spacing w:after="180"/>
              <w:jc w:val="right"/>
              <w:rPr>
                <w:rFonts w:ascii="Times New Roman" w:eastAsia="Calibri" w:hAnsi="Times New Roman" w:cs="Times New Roman"/>
                <w:b/>
                <w:sz w:val="20"/>
                <w:szCs w:val="20"/>
              </w:rPr>
            </w:pPr>
            <w:r w:rsidRPr="000B5034">
              <w:rPr>
                <w:rFonts w:ascii="Times New Roman" w:eastAsia="Calibri" w:hAnsi="Times New Roman" w:cs="Times New Roman"/>
                <w:b/>
                <w:sz w:val="20"/>
                <w:szCs w:val="20"/>
                <w:lang w:val="de-DE"/>
              </w:rPr>
              <w:t xml:space="preserve">31 dicembre </w:t>
            </w:r>
            <w:r w:rsidR="00815EB2" w:rsidRPr="000B5034">
              <w:rPr>
                <w:rFonts w:ascii="Times New Roman" w:eastAsia="Calibri" w:hAnsi="Times New Roman" w:cs="Times New Roman"/>
                <w:b/>
                <w:sz w:val="20"/>
                <w:szCs w:val="20"/>
              </w:rPr>
              <w:t>2021</w:t>
            </w:r>
          </w:p>
        </w:tc>
      </w:tr>
      <w:tr w:rsidR="00815EB2" w:rsidRPr="000B5034" w14:paraId="35967CA2" w14:textId="77777777" w:rsidTr="0040092D">
        <w:tc>
          <w:tcPr>
            <w:tcW w:w="2666" w:type="dxa"/>
          </w:tcPr>
          <w:p w14:paraId="781F74E2" w14:textId="67DA9B5F" w:rsidR="00815EB2" w:rsidRPr="000B5034" w:rsidRDefault="008017EE" w:rsidP="00815EB2">
            <w:pPr>
              <w:spacing w:after="180"/>
              <w:rPr>
                <w:rFonts w:ascii="Times New Roman" w:eastAsia="Calibri" w:hAnsi="Times New Roman" w:cs="Times New Roman"/>
                <w:sz w:val="20"/>
                <w:szCs w:val="20"/>
              </w:rPr>
            </w:pPr>
            <w:r w:rsidRPr="000B5034">
              <w:rPr>
                <w:rFonts w:ascii="Times New Roman" w:eastAsia="Calibri" w:hAnsi="Times New Roman" w:cs="Times New Roman"/>
                <w:sz w:val="20"/>
                <w:szCs w:val="20"/>
              </w:rPr>
              <w:t>Debito finanziario netto</w:t>
            </w:r>
          </w:p>
        </w:tc>
        <w:tc>
          <w:tcPr>
            <w:tcW w:w="1594" w:type="dxa"/>
          </w:tcPr>
          <w:p w14:paraId="69D3FB69" w14:textId="72696E68"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671,474,280</w:t>
            </w:r>
          </w:p>
        </w:tc>
        <w:tc>
          <w:tcPr>
            <w:tcW w:w="1594" w:type="dxa"/>
          </w:tcPr>
          <w:p w14:paraId="0460C7FC" w14:textId="51BD8A2F"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368,787,100</w:t>
            </w:r>
          </w:p>
        </w:tc>
        <w:tc>
          <w:tcPr>
            <w:tcW w:w="1595" w:type="dxa"/>
          </w:tcPr>
          <w:p w14:paraId="0FE4C40D" w14:textId="6F6B1765"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297,516,002</w:t>
            </w:r>
          </w:p>
        </w:tc>
        <w:tc>
          <w:tcPr>
            <w:tcW w:w="1595" w:type="dxa"/>
          </w:tcPr>
          <w:p w14:paraId="5641CE5C" w14:textId="7A6D743A"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1,010,038,300</w:t>
            </w:r>
          </w:p>
        </w:tc>
      </w:tr>
    </w:tbl>
    <w:p w14:paraId="69382B31" w14:textId="77777777" w:rsidR="00815EB2" w:rsidRPr="000B5034" w:rsidRDefault="00815EB2" w:rsidP="00815EB2">
      <w:pPr>
        <w:spacing w:after="0" w:line="240" w:lineRule="auto"/>
        <w:jc w:val="both"/>
        <w:rPr>
          <w:rFonts w:ascii="Times New Roman" w:eastAsia="MS Mincho" w:hAnsi="Times New Roman" w:cs="Times New Roman"/>
          <w:kern w:val="0"/>
          <w:sz w:val="20"/>
          <w:szCs w:val="20"/>
          <w:lang w:val="en-US" w:bidi="ar-SA"/>
          <w14:ligatures w14:val="none"/>
        </w:rPr>
      </w:pPr>
    </w:p>
    <w:tbl>
      <w:tblPr>
        <w:tblStyle w:val="TableGrid1"/>
        <w:tblW w:w="9044" w:type="dxa"/>
        <w:tblInd w:w="28" w:type="dxa"/>
        <w:tblLook w:val="04A0" w:firstRow="1" w:lastRow="0" w:firstColumn="1" w:lastColumn="0" w:noHBand="0" w:noVBand="1"/>
      </w:tblPr>
      <w:tblGrid>
        <w:gridCol w:w="2666"/>
        <w:gridCol w:w="1594"/>
        <w:gridCol w:w="1594"/>
        <w:gridCol w:w="1595"/>
        <w:gridCol w:w="1595"/>
      </w:tblGrid>
      <w:tr w:rsidR="00815EB2" w:rsidRPr="000B5034" w14:paraId="3CF53271" w14:textId="77777777" w:rsidTr="00815EB2">
        <w:tc>
          <w:tcPr>
            <w:tcW w:w="2666" w:type="dxa"/>
            <w:tcBorders>
              <w:top w:val="nil"/>
              <w:left w:val="nil"/>
            </w:tcBorders>
          </w:tcPr>
          <w:p w14:paraId="2ADDD690" w14:textId="760AD053" w:rsidR="00815EB2" w:rsidRPr="000B5034" w:rsidRDefault="00D26685" w:rsidP="00D26685">
            <w:pPr>
              <w:spacing w:after="180"/>
              <w:rPr>
                <w:rFonts w:ascii="Times New Roman" w:eastAsia="Calibri" w:hAnsi="Times New Roman" w:cs="Times New Roman"/>
                <w:b/>
                <w:sz w:val="20"/>
                <w:szCs w:val="20"/>
              </w:rPr>
            </w:pPr>
            <w:r w:rsidRPr="000B5034">
              <w:rPr>
                <w:rFonts w:ascii="Times New Roman" w:eastAsia="Calibri" w:hAnsi="Times New Roman" w:cs="Times New Roman"/>
                <w:b/>
                <w:sz w:val="20"/>
                <w:szCs w:val="20"/>
                <w:lang w:val="de-DE"/>
              </w:rPr>
              <w:t xml:space="preserve">Rendimento sui Flussi di Cassa </w:t>
            </w:r>
            <w:r w:rsidRPr="000B5034">
              <w:rPr>
                <w:rFonts w:ascii="Times New Roman" w:eastAsia="Calibri" w:hAnsi="Times New Roman" w:cs="Times New Roman"/>
                <w:b/>
                <w:sz w:val="20"/>
                <w:szCs w:val="20"/>
                <w:lang w:val="de-DE"/>
              </w:rPr>
              <w:br/>
            </w:r>
            <w:r w:rsidR="00815EB2" w:rsidRPr="000B5034">
              <w:rPr>
                <w:rFonts w:ascii="Times New Roman" w:eastAsia="Calibri" w:hAnsi="Times New Roman" w:cs="Times New Roman"/>
                <w:b/>
                <w:sz w:val="20"/>
                <w:szCs w:val="20"/>
              </w:rPr>
              <w:t>(in EUR)</w:t>
            </w:r>
          </w:p>
        </w:tc>
        <w:tc>
          <w:tcPr>
            <w:tcW w:w="1594" w:type="dxa"/>
            <w:shd w:val="clear" w:color="auto" w:fill="D9D9D9"/>
          </w:tcPr>
          <w:p w14:paraId="1B7D0B09" w14:textId="0EA5D78B" w:rsidR="00815EB2" w:rsidRPr="000B5034" w:rsidRDefault="00917EE0" w:rsidP="00A0745F">
            <w:pPr>
              <w:spacing w:after="180"/>
              <w:jc w:val="right"/>
              <w:rPr>
                <w:rFonts w:ascii="Times New Roman" w:eastAsia="Calibri" w:hAnsi="Times New Roman" w:cs="Times New Roman"/>
                <w:b/>
                <w:sz w:val="20"/>
                <w:szCs w:val="20"/>
              </w:rPr>
            </w:pPr>
            <w:r w:rsidRPr="000B5034">
              <w:rPr>
                <w:rFonts w:ascii="Times New Roman" w:eastAsia="Calibri" w:hAnsi="Times New Roman" w:cs="Times New Roman"/>
                <w:b/>
                <w:sz w:val="20"/>
                <w:szCs w:val="20"/>
              </w:rPr>
              <w:t>Sei mesi chiusi</w:t>
            </w:r>
            <w:r w:rsidR="00815EB2" w:rsidRPr="000B5034">
              <w:rPr>
                <w:rFonts w:ascii="Times New Roman" w:eastAsia="Calibri" w:hAnsi="Times New Roman" w:cs="Times New Roman"/>
                <w:b/>
                <w:sz w:val="20"/>
                <w:szCs w:val="20"/>
              </w:rPr>
              <w:br/>
            </w:r>
            <w:r w:rsidR="00A0745F" w:rsidRPr="000B5034">
              <w:rPr>
                <w:rFonts w:ascii="Times New Roman" w:eastAsia="Calibri" w:hAnsi="Times New Roman" w:cs="Times New Roman"/>
                <w:b/>
                <w:sz w:val="20"/>
                <w:szCs w:val="20"/>
              </w:rPr>
              <w:t xml:space="preserve">30 giugno </w:t>
            </w:r>
            <w:r w:rsidR="00815EB2" w:rsidRPr="000B5034">
              <w:rPr>
                <w:rFonts w:ascii="Times New Roman" w:eastAsia="Calibri" w:hAnsi="Times New Roman" w:cs="Times New Roman"/>
                <w:b/>
                <w:sz w:val="20"/>
                <w:szCs w:val="20"/>
              </w:rPr>
              <w:t>2023</w:t>
            </w:r>
            <w:r w:rsidR="00815EB2" w:rsidRPr="000B5034">
              <w:rPr>
                <w:rFonts w:ascii="Times New Roman" w:eastAsia="Calibri" w:hAnsi="Times New Roman" w:cs="Times New Roman"/>
                <w:b/>
                <w:sz w:val="20"/>
                <w:szCs w:val="20"/>
              </w:rPr>
              <w:br/>
              <w:t>(</w:t>
            </w:r>
            <w:r w:rsidR="00494732" w:rsidRPr="000B5034">
              <w:rPr>
                <w:rFonts w:ascii="Times New Roman" w:eastAsia="Calibri" w:hAnsi="Times New Roman" w:cs="Times New Roman"/>
                <w:b/>
                <w:sz w:val="20"/>
                <w:szCs w:val="20"/>
              </w:rPr>
              <w:t>non revisionato</w:t>
            </w:r>
            <w:r w:rsidR="00815EB2" w:rsidRPr="000B5034">
              <w:rPr>
                <w:rFonts w:ascii="Times New Roman" w:eastAsia="Calibri" w:hAnsi="Times New Roman" w:cs="Times New Roman"/>
                <w:b/>
                <w:sz w:val="20"/>
                <w:szCs w:val="20"/>
              </w:rPr>
              <w:t>)</w:t>
            </w:r>
          </w:p>
        </w:tc>
        <w:tc>
          <w:tcPr>
            <w:tcW w:w="1594" w:type="dxa"/>
            <w:shd w:val="clear" w:color="auto" w:fill="D9D9D9"/>
          </w:tcPr>
          <w:p w14:paraId="271D1F01" w14:textId="4BE49EE7" w:rsidR="00815EB2" w:rsidRPr="000B5034" w:rsidRDefault="00917EE0" w:rsidP="00A0745F">
            <w:pPr>
              <w:spacing w:after="180"/>
              <w:jc w:val="right"/>
              <w:rPr>
                <w:rFonts w:ascii="Times New Roman" w:eastAsia="Calibri" w:hAnsi="Times New Roman" w:cs="Times New Roman"/>
                <w:b/>
                <w:sz w:val="20"/>
                <w:szCs w:val="20"/>
              </w:rPr>
            </w:pPr>
            <w:r w:rsidRPr="000B5034">
              <w:rPr>
                <w:rFonts w:ascii="Times New Roman" w:eastAsia="Calibri" w:hAnsi="Times New Roman" w:cs="Times New Roman"/>
                <w:b/>
                <w:sz w:val="20"/>
                <w:szCs w:val="20"/>
              </w:rPr>
              <w:t>Sei mesi chiusi</w:t>
            </w:r>
            <w:r w:rsidR="00815EB2" w:rsidRPr="000B5034">
              <w:rPr>
                <w:rFonts w:ascii="Times New Roman" w:eastAsia="Calibri" w:hAnsi="Times New Roman" w:cs="Times New Roman"/>
                <w:b/>
                <w:sz w:val="20"/>
                <w:szCs w:val="20"/>
              </w:rPr>
              <w:br/>
            </w:r>
            <w:r w:rsidR="00A0745F" w:rsidRPr="000B5034">
              <w:rPr>
                <w:rFonts w:ascii="Times New Roman" w:eastAsia="Calibri" w:hAnsi="Times New Roman" w:cs="Times New Roman"/>
                <w:b/>
                <w:sz w:val="20"/>
                <w:szCs w:val="20"/>
              </w:rPr>
              <w:t xml:space="preserve">30 giugno </w:t>
            </w:r>
            <w:r w:rsidR="00815EB2" w:rsidRPr="000B5034">
              <w:rPr>
                <w:rFonts w:ascii="Times New Roman" w:eastAsia="Calibri" w:hAnsi="Times New Roman" w:cs="Times New Roman"/>
                <w:b/>
                <w:sz w:val="20"/>
                <w:szCs w:val="20"/>
              </w:rPr>
              <w:t>2022</w:t>
            </w:r>
            <w:r w:rsidR="00815EB2" w:rsidRPr="000B5034">
              <w:rPr>
                <w:rFonts w:ascii="Times New Roman" w:eastAsia="Calibri" w:hAnsi="Times New Roman" w:cs="Times New Roman"/>
                <w:b/>
                <w:sz w:val="20"/>
                <w:szCs w:val="20"/>
              </w:rPr>
              <w:br/>
              <w:t>(</w:t>
            </w:r>
            <w:r w:rsidR="00494732" w:rsidRPr="000B5034">
              <w:rPr>
                <w:rFonts w:ascii="Times New Roman" w:eastAsia="Calibri" w:hAnsi="Times New Roman" w:cs="Times New Roman"/>
                <w:b/>
                <w:sz w:val="20"/>
                <w:szCs w:val="20"/>
              </w:rPr>
              <w:t>non revisionato</w:t>
            </w:r>
            <w:r w:rsidR="00815EB2" w:rsidRPr="000B5034">
              <w:rPr>
                <w:rFonts w:ascii="Times New Roman" w:eastAsia="Calibri" w:hAnsi="Times New Roman" w:cs="Times New Roman"/>
                <w:b/>
                <w:sz w:val="20"/>
                <w:szCs w:val="20"/>
              </w:rPr>
              <w:t>)</w:t>
            </w:r>
          </w:p>
        </w:tc>
        <w:tc>
          <w:tcPr>
            <w:tcW w:w="1595" w:type="dxa"/>
            <w:shd w:val="clear" w:color="auto" w:fill="D9D9D9"/>
          </w:tcPr>
          <w:p w14:paraId="233B2ED3" w14:textId="69D20E5A" w:rsidR="00815EB2" w:rsidRPr="000B5034" w:rsidRDefault="00815EB2" w:rsidP="00815EB2">
            <w:pPr>
              <w:spacing w:after="180"/>
              <w:jc w:val="right"/>
              <w:rPr>
                <w:rFonts w:ascii="Times New Roman" w:eastAsia="Calibri" w:hAnsi="Times New Roman" w:cs="Times New Roman"/>
                <w:b/>
                <w:sz w:val="20"/>
                <w:szCs w:val="20"/>
              </w:rPr>
            </w:pPr>
            <w:r w:rsidRPr="000B5034">
              <w:rPr>
                <w:rFonts w:ascii="Times New Roman" w:eastAsia="Calibri" w:hAnsi="Times New Roman" w:cs="Times New Roman"/>
                <w:b/>
                <w:sz w:val="20"/>
                <w:szCs w:val="20"/>
              </w:rPr>
              <w:t>2022</w:t>
            </w:r>
          </w:p>
        </w:tc>
        <w:tc>
          <w:tcPr>
            <w:tcW w:w="1595" w:type="dxa"/>
            <w:shd w:val="clear" w:color="auto" w:fill="D9D9D9"/>
          </w:tcPr>
          <w:p w14:paraId="308016BE" w14:textId="2E7CB0F6" w:rsidR="00815EB2" w:rsidRPr="000B5034" w:rsidRDefault="00815EB2" w:rsidP="00815EB2">
            <w:pPr>
              <w:spacing w:after="180"/>
              <w:jc w:val="right"/>
              <w:rPr>
                <w:rFonts w:ascii="Times New Roman" w:eastAsia="Calibri" w:hAnsi="Times New Roman" w:cs="Times New Roman"/>
                <w:b/>
                <w:sz w:val="20"/>
                <w:szCs w:val="20"/>
              </w:rPr>
            </w:pPr>
            <w:r w:rsidRPr="000B5034">
              <w:rPr>
                <w:rFonts w:ascii="Times New Roman" w:eastAsia="Calibri" w:hAnsi="Times New Roman" w:cs="Times New Roman"/>
                <w:b/>
                <w:sz w:val="20"/>
                <w:szCs w:val="20"/>
              </w:rPr>
              <w:t>2021</w:t>
            </w:r>
          </w:p>
        </w:tc>
      </w:tr>
      <w:tr w:rsidR="00815EB2" w:rsidRPr="000B5034" w14:paraId="5D669EFD" w14:textId="77777777" w:rsidTr="0040092D">
        <w:tc>
          <w:tcPr>
            <w:tcW w:w="2666" w:type="dxa"/>
          </w:tcPr>
          <w:p w14:paraId="259CF477" w14:textId="35152135" w:rsidR="00815EB2" w:rsidRPr="000B5034" w:rsidRDefault="00D26685" w:rsidP="00D26685">
            <w:pPr>
              <w:spacing w:after="180"/>
              <w:rPr>
                <w:rFonts w:ascii="Times New Roman" w:eastAsia="Calibri" w:hAnsi="Times New Roman" w:cs="Times New Roman"/>
                <w:sz w:val="20"/>
                <w:szCs w:val="20"/>
                <w:lang w:val="fr-FR"/>
              </w:rPr>
            </w:pPr>
            <w:r w:rsidRPr="000B5034">
              <w:rPr>
                <w:rFonts w:ascii="Times New Roman" w:eastAsia="Calibri" w:hAnsi="Times New Roman" w:cs="Times New Roman"/>
                <w:sz w:val="20"/>
                <w:szCs w:val="20"/>
                <w:lang w:val="fr-FR"/>
              </w:rPr>
              <w:t>Flussi di cassa netti provenienti da attività operative</w:t>
            </w:r>
          </w:p>
        </w:tc>
        <w:tc>
          <w:tcPr>
            <w:tcW w:w="1594" w:type="dxa"/>
          </w:tcPr>
          <w:p w14:paraId="115B43CA" w14:textId="009D9155"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595,547</w:t>
            </w:r>
          </w:p>
        </w:tc>
        <w:tc>
          <w:tcPr>
            <w:tcW w:w="1594" w:type="dxa"/>
          </w:tcPr>
          <w:p w14:paraId="75444597" w14:textId="37DD13B1"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-1,642,140</w:t>
            </w:r>
          </w:p>
        </w:tc>
        <w:tc>
          <w:tcPr>
            <w:tcW w:w="1595" w:type="dxa"/>
          </w:tcPr>
          <w:p w14:paraId="572EAE4F" w14:textId="37492E6A"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-3,257,493</w:t>
            </w:r>
          </w:p>
        </w:tc>
        <w:tc>
          <w:tcPr>
            <w:tcW w:w="1595" w:type="dxa"/>
          </w:tcPr>
          <w:p w14:paraId="34E201AA" w14:textId="0D8677E5"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3,490,039</w:t>
            </w:r>
          </w:p>
        </w:tc>
      </w:tr>
      <w:tr w:rsidR="00815EB2" w:rsidRPr="000B5034" w14:paraId="6BEE621C" w14:textId="77777777" w:rsidTr="0040092D">
        <w:tc>
          <w:tcPr>
            <w:tcW w:w="2666" w:type="dxa"/>
          </w:tcPr>
          <w:p w14:paraId="44EE2DA5" w14:textId="6CEBDD61" w:rsidR="00815EB2" w:rsidRPr="000B5034" w:rsidRDefault="00D26685" w:rsidP="00D26685">
            <w:pPr>
              <w:spacing w:after="180"/>
              <w:rPr>
                <w:rFonts w:ascii="Times New Roman" w:eastAsia="Calibri" w:hAnsi="Times New Roman" w:cs="Times New Roman"/>
                <w:sz w:val="20"/>
                <w:szCs w:val="20"/>
                <w:lang w:val="fr-FR"/>
              </w:rPr>
            </w:pPr>
            <w:r w:rsidRPr="000B5034">
              <w:rPr>
                <w:rFonts w:ascii="Times New Roman" w:eastAsia="Calibri" w:hAnsi="Times New Roman" w:cs="Times New Roman"/>
                <w:sz w:val="20"/>
                <w:szCs w:val="20"/>
                <w:lang w:val="fr-FR"/>
              </w:rPr>
              <w:t>Flussi di cassa netti provenienti da attività di finanziamento</w:t>
            </w:r>
          </w:p>
        </w:tc>
        <w:tc>
          <w:tcPr>
            <w:tcW w:w="1594" w:type="dxa"/>
          </w:tcPr>
          <w:p w14:paraId="0059F5B3" w14:textId="7AB2486E"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0</w:t>
            </w:r>
          </w:p>
        </w:tc>
        <w:tc>
          <w:tcPr>
            <w:tcW w:w="1594" w:type="dxa"/>
          </w:tcPr>
          <w:p w14:paraId="163396F1" w14:textId="2491A5AA"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0</w:t>
            </w:r>
          </w:p>
        </w:tc>
        <w:tc>
          <w:tcPr>
            <w:tcW w:w="1595" w:type="dxa"/>
          </w:tcPr>
          <w:p w14:paraId="543256E5" w14:textId="028D2E6C"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0</w:t>
            </w:r>
          </w:p>
        </w:tc>
        <w:tc>
          <w:tcPr>
            <w:tcW w:w="1595" w:type="dxa"/>
          </w:tcPr>
          <w:p w14:paraId="2A3C7201" w14:textId="77777777"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0</w:t>
            </w:r>
          </w:p>
        </w:tc>
      </w:tr>
      <w:tr w:rsidR="00815EB2" w:rsidRPr="000B5034" w14:paraId="29EA4562" w14:textId="77777777" w:rsidTr="0040092D">
        <w:tc>
          <w:tcPr>
            <w:tcW w:w="2666" w:type="dxa"/>
          </w:tcPr>
          <w:p w14:paraId="3336AC88" w14:textId="414CD8CB" w:rsidR="00815EB2" w:rsidRPr="000B5034" w:rsidRDefault="00D26685" w:rsidP="00D26685">
            <w:pPr>
              <w:spacing w:after="180"/>
              <w:rPr>
                <w:rFonts w:ascii="Times New Roman" w:eastAsia="Calibri" w:hAnsi="Times New Roman" w:cs="Times New Roman"/>
                <w:sz w:val="20"/>
                <w:szCs w:val="20"/>
                <w:lang w:val="fr-FR"/>
              </w:rPr>
            </w:pPr>
            <w:r w:rsidRPr="000B5034">
              <w:rPr>
                <w:rFonts w:ascii="Times New Roman" w:eastAsia="Calibri" w:hAnsi="Times New Roman" w:cs="Times New Roman"/>
                <w:sz w:val="20"/>
                <w:szCs w:val="20"/>
                <w:lang w:val="fr-FR"/>
              </w:rPr>
              <w:t>Flussi di cassa netti provenienti da attività di investimento</w:t>
            </w:r>
          </w:p>
        </w:tc>
        <w:tc>
          <w:tcPr>
            <w:tcW w:w="1594" w:type="dxa"/>
          </w:tcPr>
          <w:p w14:paraId="5385A7A9" w14:textId="7D3A9988"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0</w:t>
            </w:r>
          </w:p>
        </w:tc>
        <w:tc>
          <w:tcPr>
            <w:tcW w:w="1594" w:type="dxa"/>
          </w:tcPr>
          <w:p w14:paraId="497DD875" w14:textId="4C20EE5E"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0</w:t>
            </w:r>
          </w:p>
        </w:tc>
        <w:tc>
          <w:tcPr>
            <w:tcW w:w="1595" w:type="dxa"/>
          </w:tcPr>
          <w:p w14:paraId="7BE5E714" w14:textId="77777777"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0</w:t>
            </w:r>
          </w:p>
        </w:tc>
        <w:tc>
          <w:tcPr>
            <w:tcW w:w="1595" w:type="dxa"/>
          </w:tcPr>
          <w:p w14:paraId="3DDEDDA8" w14:textId="77777777" w:rsidR="00815EB2" w:rsidRPr="000B5034" w:rsidRDefault="00815EB2" w:rsidP="00815EB2">
            <w:pPr>
              <w:spacing w:after="180"/>
              <w:jc w:val="right"/>
              <w:rPr>
                <w:rFonts w:ascii="Times New Roman" w:eastAsia="Calibri" w:hAnsi="Times New Roman" w:cs="Times New Roman"/>
                <w:sz w:val="20"/>
                <w:szCs w:val="20"/>
              </w:rPr>
            </w:pPr>
            <w:r w:rsidRPr="000B5034">
              <w:rPr>
                <w:rFonts w:ascii="Times New Roman" w:eastAsia="Calibri" w:hAnsi="Times New Roman" w:cs="Times New Roman"/>
                <w:sz w:val="20"/>
                <w:szCs w:val="20"/>
              </w:rPr>
              <w:t>0</w:t>
            </w:r>
          </w:p>
        </w:tc>
      </w:tr>
    </w:tbl>
    <w:p w14:paraId="1B7481CB" w14:textId="77777777" w:rsidR="00815EB2" w:rsidRPr="000B5034" w:rsidRDefault="00815EB2" w:rsidP="00815EB2">
      <w:pPr>
        <w:spacing w:after="0" w:line="240" w:lineRule="auto"/>
        <w:ind w:left="720"/>
        <w:jc w:val="both"/>
        <w:rPr>
          <w:rFonts w:ascii="Times New Roman" w:eastAsia="MS Mincho" w:hAnsi="Times New Roman" w:cs="Times New Roman"/>
          <w:kern w:val="0"/>
          <w:sz w:val="20"/>
          <w:szCs w:val="20"/>
          <w:lang w:val="en-US" w:bidi="ar-SA"/>
          <w14:ligatures w14:val="none"/>
        </w:rPr>
      </w:pPr>
    </w:p>
    <w:p w14:paraId="5FA3FD45" w14:textId="660539BE" w:rsidR="00815EB2" w:rsidRPr="000B5034" w:rsidRDefault="008017EE" w:rsidP="00815EB2">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r-FR" w:bidi="ar-SA"/>
          <w14:ligatures w14:val="none"/>
        </w:rPr>
      </w:pPr>
      <w:r w:rsidRPr="000B5034">
        <w:rPr>
          <w:rFonts w:ascii="Times New Roman" w:eastAsia="Times New Roman" w:hAnsi="Times New Roman" w:cs="Times New Roman"/>
          <w:b/>
          <w:bCs/>
          <w:color w:val="000000"/>
          <w:kern w:val="0"/>
          <w:sz w:val="20"/>
          <w:szCs w:val="20"/>
          <w:lang w:val="fr-FR" w:bidi="ar-SA"/>
          <w14:ligatures w14:val="none"/>
        </w:rPr>
        <w:t>Quali sono i principali rischi specifici dell'emittente?</w:t>
      </w:r>
    </w:p>
    <w:p w14:paraId="31382692" w14:textId="1D919E8E" w:rsidR="00815EB2" w:rsidRPr="000B5034" w:rsidRDefault="008017EE" w:rsidP="008017EE">
      <w:pPr>
        <w:spacing w:after="60" w:line="240" w:lineRule="auto"/>
        <w:rPr>
          <w:rFonts w:ascii="Times New Roman" w:eastAsia="MS Mincho" w:hAnsi="Times New Roman" w:cs="Times New Roman"/>
          <w:i/>
          <w:kern w:val="0"/>
          <w:sz w:val="20"/>
          <w:szCs w:val="20"/>
          <w:lang w:val="fr-FR" w:bidi="ar-SA"/>
          <w14:ligatures w14:val="none"/>
        </w:rPr>
      </w:pPr>
      <w:r w:rsidRPr="000B5034">
        <w:rPr>
          <w:rFonts w:ascii="Times New Roman" w:eastAsia="MS Mincho" w:hAnsi="Times New Roman" w:cs="Times New Roman"/>
          <w:i/>
          <w:kern w:val="0"/>
          <w:sz w:val="20"/>
          <w:szCs w:val="20"/>
          <w:lang w:val="fr-FR" w:bidi="ar-SA"/>
          <w14:ligatures w14:val="none"/>
        </w:rPr>
        <w:t>I seguenti fattori di rischio sono rilevanti per quanto riguarda la capacità dell'emittente di adempiere ai propri obblighi in relazione ai bond da lei emessi.</w:t>
      </w:r>
    </w:p>
    <w:p w14:paraId="34E1A5B0" w14:textId="77777777" w:rsidR="008E3D2C" w:rsidRPr="000B5034" w:rsidRDefault="008E3D2C" w:rsidP="008E3D2C">
      <w:pPr>
        <w:spacing w:after="12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fr-FR" w:bidi="ar-SA"/>
          <w14:ligatures w14:val="none"/>
        </w:rPr>
        <w:t>Rischi connessi al limitato obiettivo commerciale dell’Emittente:</w:t>
      </w:r>
      <w:r w:rsidRPr="000B5034">
        <w:rPr>
          <w:rFonts w:ascii="Times New Roman" w:eastAsia="MS Mincho" w:hAnsi="Times New Roman" w:cs="Times New Roman"/>
          <w:kern w:val="0"/>
          <w:sz w:val="20"/>
          <w:szCs w:val="20"/>
          <w:lang w:val="fr-FR" w:bidi="ar-SA"/>
          <w14:ligatures w14:val="none"/>
        </w:rPr>
        <w:t xml:space="preserve"> L’attività commerciale dell’Emittente è incentrata sull’emissione di bond legati alla Criptovaluta, nonché sulla performance del contributo della Criptovaluta alla relativa rete sottostante al fine di facilitare, validare e approvare transazioni su tale rete relative alla Criptovaluta ("</w:t>
      </w:r>
      <w:r w:rsidRPr="000B5034">
        <w:rPr>
          <w:rFonts w:ascii="Times New Roman" w:eastAsia="MS Mincho" w:hAnsi="Times New Roman" w:cs="Times New Roman"/>
          <w:b/>
          <w:bCs/>
          <w:kern w:val="0"/>
          <w:sz w:val="20"/>
          <w:szCs w:val="20"/>
          <w:lang w:val="fr-FR" w:bidi="ar-SA"/>
          <w14:ligatures w14:val="none"/>
        </w:rPr>
        <w:t>Staking</w:t>
      </w:r>
      <w:r w:rsidRPr="000B5034">
        <w:rPr>
          <w:rFonts w:ascii="Times New Roman" w:eastAsia="MS Mincho" w:hAnsi="Times New Roman" w:cs="Times New Roman"/>
          <w:kern w:val="0"/>
          <w:sz w:val="20"/>
          <w:szCs w:val="20"/>
          <w:lang w:val="fr-FR" w:bidi="ar-SA"/>
          <w14:ligatures w14:val="none"/>
        </w:rPr>
        <w:t xml:space="preserve">"). </w:t>
      </w:r>
      <w:r w:rsidRPr="000B5034">
        <w:rPr>
          <w:rFonts w:ascii="Times New Roman" w:eastAsia="MS Mincho" w:hAnsi="Times New Roman" w:cs="Times New Roman"/>
          <w:kern w:val="0"/>
          <w:sz w:val="20"/>
          <w:szCs w:val="20"/>
          <w:lang w:val="es-ES" w:bidi="ar-SA"/>
          <w14:ligatures w14:val="none"/>
        </w:rPr>
        <w:t>L'emittente non effettuerà alcuna attività diversa da quella descritta in precedenza (si veda sub "</w:t>
      </w:r>
      <w:r w:rsidRPr="000B5034">
        <w:rPr>
          <w:rFonts w:ascii="Times New Roman" w:eastAsia="MS Mincho" w:hAnsi="Times New Roman" w:cs="Times New Roman"/>
          <w:i/>
          <w:iCs/>
          <w:kern w:val="0"/>
          <w:sz w:val="20"/>
          <w:szCs w:val="20"/>
          <w:lang w:val="es-ES" w:bidi="ar-SA"/>
          <w14:ligatures w14:val="none"/>
        </w:rPr>
        <w:t>1.2.1.1. Attività principali dell'Emittente</w:t>
      </w:r>
      <w:r w:rsidRPr="000B5034">
        <w:rPr>
          <w:rFonts w:ascii="Times New Roman" w:eastAsia="MS Mincho" w:hAnsi="Times New Roman" w:cs="Times New Roman"/>
          <w:kern w:val="0"/>
          <w:sz w:val="20"/>
          <w:szCs w:val="20"/>
          <w:lang w:val="es-ES" w:bidi="ar-SA"/>
          <w14:ligatures w14:val="none"/>
        </w:rPr>
        <w:t>"). A causa di questo obiettivo commerciale limitato, l'Emittente è esposta al rischio che la Criptovaluta sottostante non abbia successo o raccolga meno successo. L'Emittente potrebbe quindi non riuscire a svolgere la propria attività e ciò potrebbe avere un impatto negativo sulla situazione economica e finanziaria dell'Emittente.</w:t>
      </w:r>
    </w:p>
    <w:p w14:paraId="4F9E14D2" w14:textId="77777777" w:rsidR="008E3D2C" w:rsidRPr="000B5034" w:rsidRDefault="008E3D2C" w:rsidP="008E3D2C">
      <w:pPr>
        <w:spacing w:after="12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Rischi connessi alla breve storia aziendale dell'Emittente:</w:t>
      </w:r>
      <w:r w:rsidRPr="000B5034">
        <w:rPr>
          <w:rFonts w:ascii="Times New Roman" w:eastAsia="MS Mincho" w:hAnsi="Times New Roman" w:cs="Times New Roman"/>
          <w:kern w:val="0"/>
          <w:sz w:val="20"/>
          <w:szCs w:val="20"/>
          <w:lang w:val="es-ES" w:bidi="ar-SA"/>
          <w14:ligatures w14:val="none"/>
        </w:rPr>
        <w:t xml:space="preserve"> L'Emittente è stata registrata presso il registro commerciale del tribunale locale (</w:t>
      </w:r>
      <w:r w:rsidRPr="000B5034">
        <w:rPr>
          <w:rFonts w:ascii="Times New Roman" w:eastAsia="MS Mincho" w:hAnsi="Times New Roman" w:cs="Times New Roman"/>
          <w:i/>
          <w:iCs/>
          <w:kern w:val="0"/>
          <w:sz w:val="20"/>
          <w:szCs w:val="20"/>
          <w:lang w:val="es-ES" w:bidi="ar-SA"/>
          <w14:ligatures w14:val="none"/>
        </w:rPr>
        <w:t>Amtsgericht</w:t>
      </w:r>
      <w:r w:rsidRPr="000B5034">
        <w:rPr>
          <w:rFonts w:ascii="Times New Roman" w:eastAsia="MS Mincho" w:hAnsi="Times New Roman" w:cs="Times New Roman"/>
          <w:kern w:val="0"/>
          <w:sz w:val="20"/>
          <w:szCs w:val="20"/>
          <w:lang w:val="es-ES" w:bidi="ar-SA"/>
          <w14:ligatures w14:val="none"/>
        </w:rPr>
        <w:t>) di Francoforte sul Meno, Germania, il 27 agosto 2019. Per via di tale breve periodo di esistenza, l'Emittente non ha precedenti nell'esercizio con successo dell'attività commerciale ivi descritta, con l'aggiunta di rischi commerciali che potrebbero avere un impatto negativo sulla situazione economica e finanziaria dell'Emittente.</w:t>
      </w:r>
    </w:p>
    <w:p w14:paraId="7E91ABDB" w14:textId="77777777" w:rsidR="008E3D2C" w:rsidRPr="000B5034" w:rsidRDefault="008E3D2C" w:rsidP="008E3D2C">
      <w:pPr>
        <w:spacing w:after="12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lastRenderedPageBreak/>
        <w:t>Azionisti principali:</w:t>
      </w:r>
      <w:r w:rsidRPr="000B5034">
        <w:rPr>
          <w:rFonts w:ascii="Times New Roman" w:eastAsia="MS Mincho" w:hAnsi="Times New Roman" w:cs="Times New Roman"/>
          <w:kern w:val="0"/>
          <w:sz w:val="20"/>
          <w:szCs w:val="20"/>
          <w:lang w:val="es-ES" w:bidi="ar-SA"/>
          <w14:ligatures w14:val="none"/>
        </w:rPr>
        <w:t xml:space="preserve"> Le azioni della Capogruppo sono fortemente concentrate; (i) XTX e (ii) MLM, che insieme detengono più del 50,00% dei diritti di voto. Tali azionisti o i loro rappresentanti hanno la facoltà di revocare tutti i membri del consiglio di amministrazione dell'Emittente con voto di maggioranza. In quanto tali, tali azionisti hanno un'influenza notevole sulla gestione dell'Emittente. Non vi è alcuna garanzia che tali azionisti o i loro rappresentanti esercitino il loro diritto di voto in modo tale da avvantaggiare l'Emittente o degli investitori.</w:t>
      </w:r>
    </w:p>
    <w:p w14:paraId="357ADC28" w14:textId="77777777" w:rsidR="008E3D2C" w:rsidRPr="000B5034" w:rsidRDefault="008E3D2C" w:rsidP="008E3D2C">
      <w:pPr>
        <w:spacing w:after="12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Dipendenza da autorizzazioni.</w:t>
      </w:r>
      <w:r w:rsidRPr="000B5034">
        <w:rPr>
          <w:rFonts w:ascii="Times New Roman" w:eastAsia="MS Mincho" w:hAnsi="Times New Roman" w:cs="Times New Roman"/>
          <w:kern w:val="0"/>
          <w:sz w:val="20"/>
          <w:szCs w:val="20"/>
          <w:lang w:val="es-ES" w:bidi="ar-SA"/>
          <w14:ligatures w14:val="none"/>
        </w:rPr>
        <w:t xml:space="preserve"> L'Emittente dipende dall'autorizzazione della Borsa di Francoforte e dalla possibilità, ai sensi della normativa tedesca, di continuare ad emettere e quotare i Bond. Qualsiasi modifica dei requisiti di quotazione, del regolamento dei Bond o dell'accettazione della criptovaluta come attività sottostante potrebbe avere un impatto negativo sull'Emittente e sugli investitori dei Bond.</w:t>
      </w:r>
    </w:p>
    <w:p w14:paraId="744A3CBF" w14:textId="5A71851F" w:rsidR="008E3D2C" w:rsidRPr="000B5034" w:rsidRDefault="008E3D2C" w:rsidP="00FF18C3">
      <w:pPr>
        <w:spacing w:after="120" w:line="240" w:lineRule="auto"/>
        <w:jc w:val="both"/>
        <w:rPr>
          <w:rFonts w:ascii="Times New Roman" w:eastAsia="MS Mincho" w:hAnsi="Times New Roman" w:cs="Times New Roman"/>
          <w:kern w:val="0"/>
          <w:sz w:val="20"/>
          <w:szCs w:val="20"/>
          <w:lang w:val="fr-FR" w:bidi="ar-SA"/>
          <w14:ligatures w14:val="none"/>
        </w:rPr>
      </w:pPr>
      <w:r w:rsidRPr="000B5034">
        <w:rPr>
          <w:rFonts w:ascii="Times New Roman" w:eastAsia="MS Mincho" w:hAnsi="Times New Roman" w:cs="Times New Roman"/>
          <w:b/>
          <w:bCs/>
          <w:i/>
          <w:iCs/>
          <w:kern w:val="0"/>
          <w:sz w:val="20"/>
          <w:szCs w:val="20"/>
          <w:lang w:val="es-ES" w:bidi="ar-SA"/>
          <w14:ligatures w14:val="none"/>
        </w:rPr>
        <w:t>Attacchi da parte di "hacker" e sabotaggio esterno dell’Emittente:</w:t>
      </w:r>
      <w:r w:rsidRPr="000B5034">
        <w:rPr>
          <w:rFonts w:ascii="Times New Roman" w:eastAsia="MS Mincho" w:hAnsi="Times New Roman" w:cs="Times New Roman"/>
          <w:kern w:val="0"/>
          <w:sz w:val="20"/>
          <w:szCs w:val="20"/>
          <w:lang w:val="es-ES" w:bidi="ar-SA"/>
          <w14:ligatures w14:val="none"/>
        </w:rPr>
        <w:t xml:space="preserve"> L'intera attività dell'Emittente dipende da determinate infrastrutture informatiche. Inoltre, anche i fornitori di servizi (ad es. l'Amministratore, l'Agente di Pagamento e il Sistema di Compensazione) si affidano ai sistemi informatici per fornire servizi all'Emittente. </w:t>
      </w:r>
      <w:r w:rsidRPr="000B5034">
        <w:rPr>
          <w:rFonts w:ascii="Times New Roman" w:eastAsia="MS Mincho" w:hAnsi="Times New Roman" w:cs="Times New Roman"/>
          <w:kern w:val="0"/>
          <w:sz w:val="20"/>
          <w:szCs w:val="20"/>
          <w:lang w:val="fr-FR" w:bidi="ar-SA"/>
          <w14:ligatures w14:val="none"/>
        </w:rPr>
        <w:t>Sia i sistemi informatici dell'Emittente che i sistemi informatici di tali fornitori di servizi possono essere violati da criminali. L'Emittente è esposta al rischio di essere parzialmente, temporaneamente o addirittura permanentemente impedita nello svolgimento delle proprie attività commerciali e di diventare addirittura insolvente, e i Titolari di Bond (i "</w:t>
      </w:r>
      <w:r w:rsidRPr="000B5034">
        <w:rPr>
          <w:rFonts w:ascii="Times New Roman" w:eastAsia="MS Mincho" w:hAnsi="Times New Roman" w:cs="Times New Roman"/>
          <w:b/>
          <w:bCs/>
          <w:kern w:val="0"/>
          <w:sz w:val="20"/>
          <w:szCs w:val="20"/>
          <w:lang w:val="fr-FR" w:bidi="ar-SA"/>
          <w14:ligatures w14:val="none"/>
        </w:rPr>
        <w:t>Titolari di Bond</w:t>
      </w:r>
      <w:r w:rsidRPr="000B5034">
        <w:rPr>
          <w:rFonts w:ascii="Times New Roman" w:eastAsia="MS Mincho" w:hAnsi="Times New Roman" w:cs="Times New Roman"/>
          <w:kern w:val="0"/>
          <w:sz w:val="20"/>
          <w:szCs w:val="20"/>
          <w:lang w:val="fr-FR" w:bidi="ar-SA"/>
          <w14:ligatures w14:val="none"/>
        </w:rPr>
        <w:t>") possono perdere parte o la totalità del loro investimento nei Bond a causa di tale violazione della sicurezza.</w:t>
      </w:r>
    </w:p>
    <w:p w14:paraId="2594EA02" w14:textId="537E9CE4" w:rsidR="00815EB2" w:rsidRPr="000B5034" w:rsidRDefault="002F74A5" w:rsidP="00815EB2">
      <w:pPr>
        <w:keepNext/>
        <w:keepLines/>
        <w:numPr>
          <w:ilvl w:val="1"/>
          <w:numId w:val="1"/>
        </w:numPr>
        <w:spacing w:after="60" w:line="240" w:lineRule="auto"/>
        <w:jc w:val="both"/>
        <w:outlineLvl w:val="1"/>
        <w:rPr>
          <w:rFonts w:ascii="Times New Roman" w:eastAsia="Times New Roman" w:hAnsi="Times New Roman" w:cs="Times New Roman"/>
          <w:b/>
          <w:bCs/>
          <w:caps/>
          <w:color w:val="000000"/>
          <w:kern w:val="0"/>
          <w:sz w:val="20"/>
          <w:szCs w:val="20"/>
          <w:lang w:val="en-US" w:bidi="ar-SA"/>
          <w14:ligatures w14:val="none"/>
        </w:rPr>
      </w:pPr>
      <w:r w:rsidRPr="000B5034">
        <w:rPr>
          <w:rFonts w:ascii="Times New Roman" w:eastAsia="Times New Roman" w:hAnsi="Times New Roman" w:cs="Times New Roman"/>
          <w:b/>
          <w:bCs/>
          <w:caps/>
          <w:color w:val="000000"/>
          <w:kern w:val="0"/>
          <w:sz w:val="20"/>
          <w:szCs w:val="20"/>
          <w:lang w:val="en-US" w:bidi="ar-SA"/>
          <w14:ligatures w14:val="none"/>
        </w:rPr>
        <w:t>INFORMAZIONI FONDAMENTALI SUI TITOLI</w:t>
      </w:r>
    </w:p>
    <w:p w14:paraId="5CE20D97" w14:textId="0D87FAE7" w:rsidR="00815EB2" w:rsidRPr="000B5034" w:rsidRDefault="005E7FFD" w:rsidP="00815EB2">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r-FR" w:bidi="ar-SA"/>
          <w14:ligatures w14:val="none"/>
        </w:rPr>
      </w:pPr>
      <w:r w:rsidRPr="000B5034">
        <w:rPr>
          <w:rFonts w:ascii="Times New Roman" w:eastAsia="Times New Roman" w:hAnsi="Times New Roman" w:cs="Times New Roman"/>
          <w:b/>
          <w:bCs/>
          <w:color w:val="000000"/>
          <w:kern w:val="0"/>
          <w:sz w:val="20"/>
          <w:szCs w:val="20"/>
          <w:lang w:val="fr-FR" w:bidi="ar-SA"/>
          <w14:ligatures w14:val="none"/>
        </w:rPr>
        <w:t>Quali sono le principali caratteristiche dei titoli?</w:t>
      </w:r>
    </w:p>
    <w:p w14:paraId="30357B3A" w14:textId="06E10EC8" w:rsidR="001705BF" w:rsidRPr="000B5034" w:rsidRDefault="001705BF" w:rsidP="001705BF">
      <w:pPr>
        <w:keepNext/>
        <w:spacing w:after="60" w:line="240" w:lineRule="auto"/>
        <w:jc w:val="both"/>
        <w:rPr>
          <w:rFonts w:ascii="Times New Roman" w:eastAsia="MS Mincho" w:hAnsi="Times New Roman" w:cs="Times New Roman"/>
          <w:kern w:val="0"/>
          <w:sz w:val="20"/>
          <w:szCs w:val="20"/>
          <w:lang w:val="en-GB" w:bidi="ar-SA"/>
          <w14:ligatures w14:val="none"/>
        </w:rPr>
      </w:pPr>
      <w:r w:rsidRPr="000B5034">
        <w:rPr>
          <w:rFonts w:ascii="Times New Roman" w:eastAsia="MS Mincho" w:hAnsi="Times New Roman" w:cs="Times New Roman"/>
          <w:kern w:val="0"/>
          <w:sz w:val="20"/>
          <w:szCs w:val="20"/>
          <w:lang w:val="en-GB" w:bidi="ar-SA"/>
          <w14:ligatures w14:val="none"/>
        </w:rPr>
        <w:t>I Bond sono bond garantiti. I Bond non hanno una data di scadenza fissa. I Bond non sono produttivi di interessi. Ogni Bond rappresenta il diritto del Titolare di Bond di richiedere all'Emittente (a) la consegna di Ethereum ("</w:t>
      </w:r>
      <w:r w:rsidRPr="000B5034">
        <w:rPr>
          <w:rFonts w:ascii="Times New Roman" w:eastAsia="MS Mincho" w:hAnsi="Times New Roman" w:cs="Times New Roman"/>
          <w:b/>
          <w:bCs/>
          <w:kern w:val="0"/>
          <w:sz w:val="20"/>
          <w:szCs w:val="20"/>
          <w:lang w:val="en-GB" w:bidi="ar-SA"/>
          <w14:ligatures w14:val="none"/>
        </w:rPr>
        <w:t>ETH</w:t>
      </w:r>
      <w:r w:rsidRPr="000B5034">
        <w:rPr>
          <w:rFonts w:ascii="Times New Roman" w:eastAsia="MS Mincho" w:hAnsi="Times New Roman" w:cs="Times New Roman"/>
          <w:kern w:val="0"/>
          <w:sz w:val="20"/>
          <w:szCs w:val="20"/>
          <w:lang w:val="en-GB" w:bidi="ar-SA"/>
          <w14:ligatures w14:val="none"/>
        </w:rPr>
        <w:t>" o "</w:t>
      </w:r>
      <w:r w:rsidRPr="000B5034">
        <w:rPr>
          <w:rFonts w:ascii="Times New Roman" w:eastAsia="MS Mincho" w:hAnsi="Times New Roman" w:cs="Times New Roman"/>
          <w:b/>
          <w:bCs/>
          <w:kern w:val="0"/>
          <w:sz w:val="20"/>
          <w:szCs w:val="20"/>
          <w:lang w:val="en-GB" w:bidi="ar-SA"/>
          <w14:ligatures w14:val="none"/>
        </w:rPr>
        <w:t>Criptovaluta</w:t>
      </w:r>
      <w:r w:rsidRPr="000B5034">
        <w:rPr>
          <w:rFonts w:ascii="Times New Roman" w:eastAsia="MS Mincho" w:hAnsi="Times New Roman" w:cs="Times New Roman"/>
          <w:kern w:val="0"/>
          <w:sz w:val="20"/>
          <w:szCs w:val="20"/>
          <w:lang w:val="en-GB" w:bidi="ar-SA"/>
          <w14:ligatures w14:val="none"/>
        </w:rPr>
        <w:t xml:space="preserve">"), una criptovaluta basata su una piattaforma software decentralizzata, basata su blockchain e open-source (anche chiamata Ethereum) e visualizzata su </w:t>
      </w:r>
      <w:hyperlink r:id="rId11" w:tgtFrame="_new" w:history="1">
        <w:r w:rsidRPr="000B5034">
          <w:rPr>
            <w:rStyle w:val="Hyperlink"/>
            <w:rFonts w:ascii="Times New Roman" w:eastAsia="MS Mincho" w:hAnsi="Times New Roman" w:cs="Times New Roman"/>
            <w:kern w:val="0"/>
            <w:sz w:val="20"/>
            <w:szCs w:val="20"/>
            <w:lang w:val="en-GB" w:bidi="ar-SA"/>
            <w14:ligatures w14:val="none"/>
          </w:rPr>
          <w:t>https://ethereum.org/en/eth</w:t>
        </w:r>
      </w:hyperlink>
      <w:r w:rsidRPr="000B5034">
        <w:rPr>
          <w:rFonts w:ascii="Times New Roman" w:eastAsia="MS Mincho" w:hAnsi="Times New Roman" w:cs="Times New Roman"/>
          <w:kern w:val="0"/>
          <w:sz w:val="20"/>
          <w:szCs w:val="20"/>
          <w:lang w:val="en-GB" w:bidi="ar-SA"/>
          <w14:ligatures w14:val="none"/>
        </w:rPr>
        <w:t xml:space="preserve">, pari al diritto del Titolare di Bond, a partire da qualsiasi Giorno Lavorativo, nei confronti dell'Emittente in relazione ad ogni Bond, espresso come l'importo di ETH per Bond, e calcolato dall'Emittente a propria discrezione in conformità alla formula di seguito riportata riferendosi all'Indice Compass </w:t>
      </w:r>
      <w:r w:rsidR="009128D0" w:rsidRPr="000B5034">
        <w:rPr>
          <w:rFonts w:ascii="Times New Roman" w:eastAsia="MS Mincho" w:hAnsi="Times New Roman" w:cs="Times New Roman"/>
          <w:kern w:val="0"/>
          <w:sz w:val="20"/>
          <w:szCs w:val="20"/>
          <w:lang w:val="en-GB" w:bidi="ar-SA"/>
          <w14:ligatures w14:val="none"/>
        </w:rPr>
        <w:t xml:space="preserve">Crypto Reference Index </w:t>
      </w:r>
      <w:r w:rsidRPr="000B5034">
        <w:rPr>
          <w:rFonts w:ascii="Times New Roman" w:eastAsia="MS Mincho" w:hAnsi="Times New Roman" w:cs="Times New Roman"/>
          <w:kern w:val="0"/>
          <w:sz w:val="20"/>
          <w:szCs w:val="20"/>
          <w:lang w:val="en-GB" w:bidi="ar-SA"/>
          <w14:ligatures w14:val="none"/>
        </w:rPr>
        <w:t>Ethereum (l'"</w:t>
      </w:r>
      <w:r w:rsidRPr="000B5034">
        <w:rPr>
          <w:rFonts w:ascii="Times New Roman" w:eastAsia="MS Mincho" w:hAnsi="Times New Roman" w:cs="Times New Roman"/>
          <w:b/>
          <w:bCs/>
          <w:kern w:val="0"/>
          <w:sz w:val="20"/>
          <w:szCs w:val="20"/>
          <w:lang w:val="en-GB" w:bidi="ar-SA"/>
          <w14:ligatures w14:val="none"/>
        </w:rPr>
        <w:t>Indice</w:t>
      </w:r>
      <w:r w:rsidRPr="000B5034">
        <w:rPr>
          <w:rFonts w:ascii="Times New Roman" w:eastAsia="MS Mincho" w:hAnsi="Times New Roman" w:cs="Times New Roman"/>
          <w:kern w:val="0"/>
          <w:sz w:val="20"/>
          <w:szCs w:val="20"/>
          <w:lang w:val="en-GB" w:bidi="ar-SA"/>
          <w14:ligatures w14:val="none"/>
        </w:rPr>
        <w:t>") ("</w:t>
      </w:r>
      <w:r w:rsidRPr="000B5034">
        <w:rPr>
          <w:rFonts w:ascii="Times New Roman" w:eastAsia="MS Mincho" w:hAnsi="Times New Roman" w:cs="Times New Roman"/>
          <w:i/>
          <w:iCs/>
          <w:kern w:val="0"/>
          <w:sz w:val="20"/>
          <w:szCs w:val="20"/>
          <w:lang w:val="en-GB" w:bidi="ar-SA"/>
          <w14:ligatures w14:val="none"/>
        </w:rPr>
        <w:t>1.4.1. Metodo di determinazione del Prezzo di Emissione</w:t>
      </w:r>
      <w:r w:rsidRPr="000B5034">
        <w:rPr>
          <w:rFonts w:ascii="Times New Roman" w:eastAsia="MS Mincho" w:hAnsi="Times New Roman" w:cs="Times New Roman"/>
          <w:kern w:val="0"/>
          <w:sz w:val="20"/>
          <w:szCs w:val="20"/>
          <w:lang w:val="en-GB" w:bidi="ar-SA"/>
          <w14:ligatures w14:val="none"/>
        </w:rPr>
        <w:t>") (il "</w:t>
      </w:r>
      <w:r w:rsidRPr="000B5034">
        <w:rPr>
          <w:rFonts w:ascii="Times New Roman" w:eastAsia="MS Mincho" w:hAnsi="Times New Roman" w:cs="Times New Roman"/>
          <w:b/>
          <w:bCs/>
          <w:kern w:val="0"/>
          <w:sz w:val="20"/>
          <w:szCs w:val="20"/>
          <w:lang w:val="en-GB" w:bidi="ar-SA"/>
          <w14:ligatures w14:val="none"/>
        </w:rPr>
        <w:t>Diritto di Criptovaluta</w:t>
      </w:r>
      <w:r w:rsidRPr="000B5034">
        <w:rPr>
          <w:rFonts w:ascii="Times New Roman" w:eastAsia="MS Mincho" w:hAnsi="Times New Roman" w:cs="Times New Roman"/>
          <w:kern w:val="0"/>
          <w:sz w:val="20"/>
          <w:szCs w:val="20"/>
          <w:lang w:val="en-GB" w:bidi="ar-SA"/>
          <w14:ligatures w14:val="none"/>
        </w:rPr>
        <w:t>") o (b) il pagamento di una somma in USD ("USD") determinato in conformità alle disposizioni rilevanti del regolamento (il "</w:t>
      </w:r>
      <w:r w:rsidRPr="000B5034">
        <w:rPr>
          <w:rFonts w:ascii="Times New Roman" w:eastAsia="MS Mincho" w:hAnsi="Times New Roman" w:cs="Times New Roman"/>
          <w:b/>
          <w:bCs/>
          <w:kern w:val="0"/>
          <w:sz w:val="20"/>
          <w:szCs w:val="20"/>
          <w:lang w:val="en-GB" w:bidi="ar-SA"/>
          <w14:ligatures w14:val="none"/>
        </w:rPr>
        <w:t>Regolamento</w:t>
      </w:r>
      <w:r w:rsidRPr="000B5034">
        <w:rPr>
          <w:rFonts w:ascii="Times New Roman" w:eastAsia="MS Mincho" w:hAnsi="Times New Roman" w:cs="Times New Roman"/>
          <w:kern w:val="0"/>
          <w:sz w:val="20"/>
          <w:szCs w:val="20"/>
          <w:lang w:val="en-GB" w:bidi="ar-SA"/>
          <w14:ligatures w14:val="none"/>
        </w:rPr>
        <w:t>"). Gli obblighi previsti dai Bond costituiscono obbligazioni dirette, non subordinate e garantite dell'Emittente che si collocano pari passu tra (i) di loro, (ii) eventuali Obblighi di Riscatto Garantiti e Obblighi di Regolamento Garantiti (Secured Settlement Obligations) (come definite di seguito) ("</w:t>
      </w:r>
      <w:r w:rsidRPr="000B5034">
        <w:rPr>
          <w:rFonts w:ascii="Times New Roman" w:eastAsia="MS Mincho" w:hAnsi="Times New Roman" w:cs="Times New Roman"/>
          <w:i/>
          <w:iCs/>
          <w:kern w:val="0"/>
          <w:sz w:val="20"/>
          <w:szCs w:val="20"/>
          <w:lang w:val="en-GB" w:bidi="ar-SA"/>
          <w14:ligatures w14:val="none"/>
        </w:rPr>
        <w:t>1.3.3. Rischi connessi ai Rimborsi Volontari</w:t>
      </w:r>
      <w:r w:rsidRPr="000B5034">
        <w:rPr>
          <w:rFonts w:ascii="Times New Roman" w:eastAsia="MS Mincho" w:hAnsi="Times New Roman" w:cs="Times New Roman"/>
          <w:kern w:val="0"/>
          <w:sz w:val="20"/>
          <w:szCs w:val="20"/>
          <w:lang w:val="en-GB" w:bidi="ar-SA"/>
          <w14:ligatures w14:val="none"/>
        </w:rPr>
        <w:t>") e (iii) ogni obbligo dell'Emittente di trasferire i Bond a qualsiasi soggetto nominato dall'Emittente come partecipante autorizzato (il "</w:t>
      </w:r>
      <w:r w:rsidRPr="000B5034">
        <w:rPr>
          <w:rFonts w:ascii="Times New Roman" w:eastAsia="MS Mincho" w:hAnsi="Times New Roman" w:cs="Times New Roman"/>
          <w:b/>
          <w:bCs/>
          <w:kern w:val="0"/>
          <w:sz w:val="20"/>
          <w:szCs w:val="20"/>
          <w:lang w:val="en-GB" w:bidi="ar-SA"/>
          <w14:ligatures w14:val="none"/>
        </w:rPr>
        <w:t>Partecipante Autorizzato</w:t>
      </w:r>
      <w:r w:rsidRPr="000B5034">
        <w:rPr>
          <w:rFonts w:ascii="Times New Roman" w:eastAsia="MS Mincho" w:hAnsi="Times New Roman" w:cs="Times New Roman"/>
          <w:kern w:val="0"/>
          <w:sz w:val="20"/>
          <w:szCs w:val="20"/>
          <w:lang w:val="en-GB" w:bidi="ar-SA"/>
          <w14:ligatures w14:val="none"/>
        </w:rPr>
        <w:t>") se tale Partecipante Autorizzato ha almeno trasferito il Diritto di Criptovaluta per Bond sottoscritto o acquistato in un portafoglio di deposito gestito da Zodia Custody (Ireland) Limited (il "</w:t>
      </w:r>
      <w:r w:rsidRPr="000B5034">
        <w:rPr>
          <w:rFonts w:ascii="Times New Roman" w:eastAsia="MS Mincho" w:hAnsi="Times New Roman" w:cs="Times New Roman"/>
          <w:b/>
          <w:bCs/>
          <w:kern w:val="0"/>
          <w:sz w:val="20"/>
          <w:szCs w:val="20"/>
          <w:lang w:val="en-GB" w:bidi="ar-SA"/>
          <w14:ligatures w14:val="none"/>
        </w:rPr>
        <w:t>Portafoglio di Deposito</w:t>
      </w:r>
      <w:r w:rsidRPr="000B5034">
        <w:rPr>
          <w:rFonts w:ascii="Times New Roman" w:eastAsia="MS Mincho" w:hAnsi="Times New Roman" w:cs="Times New Roman"/>
          <w:kern w:val="0"/>
          <w:sz w:val="20"/>
          <w:szCs w:val="20"/>
          <w:lang w:val="en-GB" w:bidi="ar-SA"/>
          <w14:ligatures w14:val="none"/>
        </w:rPr>
        <w:t>" e, tali obblighi, gli "</w:t>
      </w:r>
      <w:r w:rsidRPr="000B5034">
        <w:rPr>
          <w:rFonts w:ascii="Times New Roman" w:eastAsia="MS Mincho" w:hAnsi="Times New Roman" w:cs="Times New Roman"/>
          <w:b/>
          <w:bCs/>
          <w:kern w:val="0"/>
          <w:sz w:val="20"/>
          <w:szCs w:val="20"/>
          <w:lang w:val="en-GB" w:bidi="ar-SA"/>
          <w14:ligatures w14:val="none"/>
        </w:rPr>
        <w:t>Obblighi di Regolamento Garantiti</w:t>
      </w:r>
      <w:r w:rsidRPr="000B5034">
        <w:rPr>
          <w:rFonts w:ascii="Times New Roman" w:eastAsia="MS Mincho" w:hAnsi="Times New Roman" w:cs="Times New Roman"/>
          <w:kern w:val="0"/>
          <w:sz w:val="20"/>
          <w:szCs w:val="20"/>
          <w:lang w:val="en-GB" w:bidi="ar-SA"/>
          <w14:ligatures w14:val="none"/>
        </w:rPr>
        <w:t>"). I Bond sono liberamente trasferibili.</w:t>
      </w:r>
    </w:p>
    <w:p w14:paraId="2B919FEA" w14:textId="77777777" w:rsidR="009956FD" w:rsidRPr="000B5034" w:rsidRDefault="001705BF" w:rsidP="001705BF">
      <w:pPr>
        <w:keepNext/>
        <w:spacing w:after="60" w:line="240" w:lineRule="auto"/>
        <w:jc w:val="both"/>
        <w:rPr>
          <w:rFonts w:ascii="Times New Roman" w:eastAsia="MS Mincho" w:hAnsi="Times New Roman" w:cs="Times New Roman"/>
          <w:kern w:val="0"/>
          <w:sz w:val="20"/>
          <w:szCs w:val="20"/>
          <w:lang w:val="en-GB" w:bidi="ar-SA"/>
          <w14:ligatures w14:val="none"/>
        </w:rPr>
      </w:pPr>
      <w:r w:rsidRPr="000B5034">
        <w:rPr>
          <w:rFonts w:ascii="Times New Roman" w:eastAsia="MS Mincho" w:hAnsi="Times New Roman" w:cs="Times New Roman"/>
          <w:kern w:val="0"/>
          <w:sz w:val="20"/>
          <w:szCs w:val="20"/>
          <w:lang w:val="en-GB" w:bidi="ar-SA"/>
          <w14:ligatures w14:val="none"/>
        </w:rPr>
        <w:t xml:space="preserve">I seguenti diritti sono connessi ai Bond: </w:t>
      </w:r>
    </w:p>
    <w:p w14:paraId="0EC528E7" w14:textId="64D07126" w:rsidR="001705BF" w:rsidRPr="000B5034" w:rsidRDefault="001705BF" w:rsidP="001705BF">
      <w:pPr>
        <w:keepNext/>
        <w:spacing w:after="60" w:line="240" w:lineRule="auto"/>
        <w:jc w:val="both"/>
        <w:rPr>
          <w:rFonts w:ascii="Times New Roman" w:eastAsia="MS Mincho" w:hAnsi="Times New Roman" w:cs="Times New Roman"/>
          <w:kern w:val="0"/>
          <w:sz w:val="20"/>
          <w:szCs w:val="20"/>
          <w:lang w:val="en-GB" w:bidi="ar-SA"/>
          <w14:ligatures w14:val="none"/>
        </w:rPr>
      </w:pPr>
      <w:r w:rsidRPr="000B5034">
        <w:rPr>
          <w:rFonts w:ascii="Times New Roman" w:eastAsia="MS Mincho" w:hAnsi="Times New Roman" w:cs="Times New Roman"/>
          <w:b/>
          <w:bCs/>
          <w:i/>
          <w:iCs/>
          <w:kern w:val="0"/>
          <w:sz w:val="20"/>
          <w:szCs w:val="20"/>
          <w:lang w:val="en-GB" w:bidi="ar-SA"/>
          <w14:ligatures w14:val="none"/>
        </w:rPr>
        <w:t>Garanzia:</w:t>
      </w:r>
      <w:r w:rsidRPr="000B5034">
        <w:rPr>
          <w:rFonts w:ascii="Times New Roman" w:eastAsia="MS Mincho" w:hAnsi="Times New Roman" w:cs="Times New Roman"/>
          <w:kern w:val="0"/>
          <w:sz w:val="20"/>
          <w:szCs w:val="20"/>
          <w:lang w:val="en-GB" w:bidi="ar-SA"/>
          <w14:ligatures w14:val="none"/>
        </w:rPr>
        <w:t xml:space="preserve"> Pegno dell'Emittente a favore dei Titolari di Bond dei propri diritti, titoli, interessi e benefici, presenti e futuri, nel, al e di cui al Portafoglio di Deposito e la Criptovaluta Depositata (Deposited Cryptocurrency) e pegno dell'Emittente sul Conto di Emissione e sui Bond di proprietà dell'Emittente a favore dei Titolari di Bond (la "</w:t>
      </w:r>
      <w:r w:rsidRPr="000B5034">
        <w:rPr>
          <w:rFonts w:ascii="Times New Roman" w:eastAsia="MS Mincho" w:hAnsi="Times New Roman" w:cs="Times New Roman"/>
          <w:b/>
          <w:bCs/>
          <w:kern w:val="0"/>
          <w:sz w:val="20"/>
          <w:szCs w:val="20"/>
          <w:lang w:val="en-GB" w:bidi="ar-SA"/>
          <w14:ligatures w14:val="none"/>
        </w:rPr>
        <w:t>Garanzia</w:t>
      </w:r>
      <w:r w:rsidRPr="000B5034">
        <w:rPr>
          <w:rFonts w:ascii="Times New Roman" w:eastAsia="MS Mincho" w:hAnsi="Times New Roman" w:cs="Times New Roman"/>
          <w:kern w:val="0"/>
          <w:sz w:val="20"/>
          <w:szCs w:val="20"/>
          <w:lang w:val="en-GB" w:bidi="ar-SA"/>
          <w14:ligatures w14:val="none"/>
        </w:rPr>
        <w:t>"). I dettagli dei conti e i termini e le condizioni dei rispettivi pegni sono stabiliti nei Documenti di Garanzia disponibili per la consultazione da parte dei Titolari di Bond presso la sede principale dell'Emittente (Gridiron, One Pancras Square, Londra, N1C 4 AG, Regno Unito).</w:t>
      </w:r>
    </w:p>
    <w:p w14:paraId="3CBEEEAD" w14:textId="77777777" w:rsidR="001705BF" w:rsidRPr="000B5034" w:rsidRDefault="001705BF" w:rsidP="001705BF">
      <w:pPr>
        <w:keepNext/>
        <w:spacing w:after="60" w:line="240" w:lineRule="auto"/>
        <w:jc w:val="both"/>
        <w:rPr>
          <w:rFonts w:ascii="Times New Roman" w:eastAsia="MS Mincho" w:hAnsi="Times New Roman" w:cs="Times New Roman"/>
          <w:kern w:val="0"/>
          <w:sz w:val="20"/>
          <w:szCs w:val="20"/>
          <w:lang w:val="en-GB" w:bidi="ar-SA"/>
          <w14:ligatures w14:val="none"/>
        </w:rPr>
      </w:pPr>
      <w:r w:rsidRPr="000B5034">
        <w:rPr>
          <w:rFonts w:ascii="Times New Roman" w:eastAsia="MS Mincho" w:hAnsi="Times New Roman" w:cs="Times New Roman"/>
          <w:b/>
          <w:bCs/>
          <w:i/>
          <w:iCs/>
          <w:kern w:val="0"/>
          <w:sz w:val="20"/>
          <w:szCs w:val="20"/>
          <w:lang w:val="en-GB" w:bidi="ar-SA"/>
          <w14:ligatures w14:val="none"/>
        </w:rPr>
        <w:t>Staking:</w:t>
      </w:r>
      <w:r w:rsidRPr="000B5034">
        <w:rPr>
          <w:rFonts w:ascii="Times New Roman" w:eastAsia="MS Mincho" w:hAnsi="Times New Roman" w:cs="Times New Roman"/>
          <w:kern w:val="0"/>
          <w:sz w:val="20"/>
          <w:szCs w:val="20"/>
          <w:lang w:val="en-GB" w:bidi="ar-SA"/>
          <w14:ligatures w14:val="none"/>
        </w:rPr>
        <w:t xml:space="preserve"> L'Emittente può utilizzare i servizi di un fornitore di servizi (il "</w:t>
      </w:r>
      <w:r w:rsidRPr="000B5034">
        <w:rPr>
          <w:rFonts w:ascii="Times New Roman" w:eastAsia="MS Mincho" w:hAnsi="Times New Roman" w:cs="Times New Roman"/>
          <w:b/>
          <w:bCs/>
          <w:kern w:val="0"/>
          <w:sz w:val="20"/>
          <w:szCs w:val="20"/>
          <w:lang w:val="en-GB" w:bidi="ar-SA"/>
          <w14:ligatures w14:val="none"/>
        </w:rPr>
        <w:t>Fornitore di Staking</w:t>
      </w:r>
      <w:r w:rsidRPr="000B5034">
        <w:rPr>
          <w:rFonts w:ascii="Times New Roman" w:eastAsia="MS Mincho" w:hAnsi="Times New Roman" w:cs="Times New Roman"/>
          <w:kern w:val="0"/>
          <w:sz w:val="20"/>
          <w:szCs w:val="20"/>
          <w:lang w:val="en-GB" w:bidi="ar-SA"/>
          <w14:ligatures w14:val="none"/>
        </w:rPr>
        <w:t>") per applicare alcune o tutte le unità della Criptovaluta facenti parte della Criptovaluta Depositata allo Staking. Qualsiasi unità di Criptovaluta ricevuta come ricompensa per questo processo (soggetta a commissioni applicabili) farà parte del Diritto di Criptovaluta.</w:t>
      </w:r>
    </w:p>
    <w:p w14:paraId="03D724A4" w14:textId="77777777" w:rsidR="001705BF" w:rsidRPr="000B5034" w:rsidRDefault="001705BF" w:rsidP="001705BF">
      <w:pPr>
        <w:keepNext/>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Rimborso Obbligatorio:</w:t>
      </w:r>
      <w:r w:rsidRPr="000B5034">
        <w:rPr>
          <w:rFonts w:ascii="Times New Roman" w:eastAsia="MS Mincho" w:hAnsi="Times New Roman" w:cs="Times New Roman"/>
          <w:kern w:val="0"/>
          <w:sz w:val="20"/>
          <w:szCs w:val="20"/>
          <w:lang w:val="es-ES" w:bidi="ar-SA"/>
          <w14:ligatures w14:val="none"/>
        </w:rPr>
        <w:t xml:space="preserve"> Al verificarsi di determinati eventi di rimborso obbligatorio, l'Emittente può in qualsiasi momento (ma non è tenuta a), comunicare ai Titolari di Bond l'evento di rimborso obbligatorio pertinente (la "</w:t>
      </w:r>
      <w:r w:rsidRPr="000B5034">
        <w:rPr>
          <w:rFonts w:ascii="Times New Roman" w:eastAsia="MS Mincho" w:hAnsi="Times New Roman" w:cs="Times New Roman"/>
          <w:b/>
          <w:bCs/>
          <w:kern w:val="0"/>
          <w:sz w:val="20"/>
          <w:szCs w:val="20"/>
          <w:lang w:val="es-ES" w:bidi="ar-SA"/>
          <w14:ligatures w14:val="none"/>
        </w:rPr>
        <w:t>Notifica di Rimborso Obbligatorio</w:t>
      </w:r>
      <w:r w:rsidRPr="000B5034">
        <w:rPr>
          <w:rFonts w:ascii="Times New Roman" w:eastAsia="MS Mincho" w:hAnsi="Times New Roman" w:cs="Times New Roman"/>
          <w:kern w:val="0"/>
          <w:sz w:val="20"/>
          <w:szCs w:val="20"/>
          <w:lang w:val="es-ES" w:bidi="ar-SA"/>
          <w14:ligatures w14:val="none"/>
        </w:rPr>
        <w:t xml:space="preserve">") e rimborsare i Bond alla data di rimborso obbligatorio specificata nella Notifica di Rimborso Obbligatorio al loro Prezzo di Rimborso Obbligatorio (come di seguito definito). Tali eventi di rimborso obbligatorio includono, tra l'altro, eventi che rendono economicamente o praticamente non sostenibile la continuazione dell'emissione dei Bond e/o il mantenimento dei Bond in circolazione, come, tra gli altri, l'entrata in vigore di qualsiasi nuova legge o regolamento che richieda all'Emittente di ottenere qualsiasi licenza al fine di poter adempiere ai propri obblighi ai sensi dei Bond; o qualsiasi modifica nel trattamento fiscale della Criptovaluta; o qualora all'Emittente sia stato ordinato da un tribunale competente o sia stato altrimenti richiesto dalla legge di </w:t>
      </w:r>
      <w:r w:rsidRPr="000B5034">
        <w:rPr>
          <w:rFonts w:ascii="Times New Roman" w:eastAsia="MS Mincho" w:hAnsi="Times New Roman" w:cs="Times New Roman"/>
          <w:kern w:val="0"/>
          <w:sz w:val="20"/>
          <w:szCs w:val="20"/>
          <w:lang w:val="es-ES" w:bidi="ar-SA"/>
          <w14:ligatures w14:val="none"/>
        </w:rPr>
        <w:lastRenderedPageBreak/>
        <w:t>procedere al rimborso obbligatorio. L'esercizio del diritto di rimborso obbligatorio da parte dell'Emittente porta inevitabilmente ad un rimborso dei Bond per i Titolari di Bond.</w:t>
      </w:r>
    </w:p>
    <w:p w14:paraId="75EE1731" w14:textId="38BE90CF" w:rsidR="006C52BB" w:rsidRPr="000B5034" w:rsidRDefault="006C52BB" w:rsidP="006C52BB">
      <w:pPr>
        <w:keepNext/>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Rimborso Volontario:</w:t>
      </w:r>
      <w:r w:rsidRPr="000B5034">
        <w:rPr>
          <w:rFonts w:ascii="Times New Roman" w:eastAsia="MS Mincho" w:hAnsi="Times New Roman" w:cs="Times New Roman"/>
          <w:kern w:val="0"/>
          <w:sz w:val="20"/>
          <w:szCs w:val="20"/>
          <w:lang w:val="es-ES" w:bidi="ar-SA"/>
          <w14:ligatures w14:val="none"/>
        </w:rPr>
        <w:t xml:space="preserve"> I Bond non hanno una data di scadenza fissa. Tuttavia, ogni Titolare di Bond può richiedere all'Emittente di rimborsare i propri Bond a fronte della consegna fisica del Diritto di Criptovaluta o (in adempimento del suo diritto di consegna della Criptovaluta) a fronte del pagamento in contanti in USD (il "</w:t>
      </w:r>
      <w:r w:rsidRPr="000B5034">
        <w:rPr>
          <w:rFonts w:ascii="Times New Roman" w:eastAsia="MS Mincho" w:hAnsi="Times New Roman" w:cs="Times New Roman"/>
          <w:b/>
          <w:bCs/>
          <w:kern w:val="0"/>
          <w:sz w:val="20"/>
          <w:szCs w:val="20"/>
          <w:lang w:val="es-ES" w:bidi="ar-SA"/>
          <w14:ligatures w14:val="none"/>
        </w:rPr>
        <w:t>Rimborso Volontario</w:t>
      </w:r>
      <w:r w:rsidRPr="000B5034">
        <w:rPr>
          <w:rFonts w:ascii="Times New Roman" w:eastAsia="MS Mincho" w:hAnsi="Times New Roman" w:cs="Times New Roman"/>
          <w:kern w:val="0"/>
          <w:sz w:val="20"/>
          <w:szCs w:val="20"/>
          <w:lang w:val="es-ES" w:bidi="ar-SA"/>
          <w14:ligatures w14:val="none"/>
        </w:rPr>
        <w:t xml:space="preserve">"). Qualora i Bond siano rimborsati in contanti, l'importo di rimborso sarà pari al ricavato della vendita del Diritto di Criptovaluta utilizzando la Procedura di Esecuzione di Criptovaluta (Cryptocurrency Execution Procedure) (come definita di seguito), nella misura in cui tale procedura porti ad una vendita con successo. Per estinguere i propri Bond, il Titolare di Bond deve (i) presentare il modulo di rimborso insieme a tutti i documenti KYC richiesti, (ii) pagare una commissione anticipata di rimborso pari a </w:t>
      </w:r>
      <w:r w:rsidR="00EF1616">
        <w:rPr>
          <w:rFonts w:ascii="Times New Roman" w:eastAsia="MS Mincho" w:hAnsi="Times New Roman" w:cs="Times New Roman"/>
          <w:kern w:val="0"/>
          <w:sz w:val="20"/>
          <w:szCs w:val="20"/>
          <w:lang w:val="es-ES" w:bidi="ar-SA"/>
          <w14:ligatures w14:val="none"/>
        </w:rPr>
        <w:t>EUR</w:t>
      </w:r>
      <w:r w:rsidRPr="000B5034">
        <w:rPr>
          <w:rFonts w:ascii="Times New Roman" w:eastAsia="MS Mincho" w:hAnsi="Times New Roman" w:cs="Times New Roman"/>
          <w:kern w:val="0"/>
          <w:sz w:val="20"/>
          <w:szCs w:val="20"/>
          <w:lang w:val="es-ES" w:bidi="ar-SA"/>
          <w14:ligatures w14:val="none"/>
        </w:rPr>
        <w:t xml:space="preserve"> 100,00 (soggetta a determinate esenzioni) (la "</w:t>
      </w:r>
      <w:r w:rsidRPr="000B5034">
        <w:rPr>
          <w:rFonts w:ascii="Times New Roman" w:eastAsia="MS Mincho" w:hAnsi="Times New Roman" w:cs="Times New Roman"/>
          <w:b/>
          <w:bCs/>
          <w:kern w:val="0"/>
          <w:sz w:val="20"/>
          <w:szCs w:val="20"/>
          <w:lang w:val="es-ES" w:bidi="ar-SA"/>
          <w14:ligatures w14:val="none"/>
        </w:rPr>
        <w:t>Commissione Anticipata di Rimborso</w:t>
      </w:r>
      <w:r w:rsidRPr="000B5034">
        <w:rPr>
          <w:rFonts w:ascii="Times New Roman" w:eastAsia="MS Mincho" w:hAnsi="Times New Roman" w:cs="Times New Roman"/>
          <w:kern w:val="0"/>
          <w:sz w:val="20"/>
          <w:szCs w:val="20"/>
          <w:lang w:val="es-ES" w:bidi="ar-SA"/>
          <w14:ligatures w14:val="none"/>
        </w:rPr>
        <w:t>") e (iii) trasferire i Bond, in relazione ai quali viene esercitato il diritto di Rimborso Volontario, sul Conto di Emissione a titolo gratuito. Qualora un Titolare di Bond eserciti il proprio diritto di Rimborso Volontario nei confronti dell'Emittente o nei confronti di un Partecipante Autorizzato, sarà addebitata una commissione di esercizio oltre alla Commissione Anticipata di Rimborso (ove applicabile) di importo pari al 2,50% del Diritto di Criptovaluta per ciascun Bond in relazione a cui è esercitato il Rimborso Volontario (la "Commissione di Esercizio"). Tuttavia, qualora il Titolare di Bond venda i Bond in borsa, non saranno applicate commissioni di rimborso da parte dell'Emittente o del Partecipante Autorizzato. Se un Titolare di Bond esercita il proprio diritto di Rimborso Volontario e opta per il rimborso in contanti, l'Emittente incaricherà un agente di esecuzione di vendere Criptovaluta in un importo pari al Diritto di Criptovaluta (la "</w:t>
      </w:r>
      <w:r w:rsidRPr="000B5034">
        <w:rPr>
          <w:rFonts w:ascii="Times New Roman" w:eastAsia="MS Mincho" w:hAnsi="Times New Roman" w:cs="Times New Roman"/>
          <w:b/>
          <w:bCs/>
          <w:kern w:val="0"/>
          <w:sz w:val="20"/>
          <w:szCs w:val="20"/>
          <w:lang w:val="es-ES" w:bidi="ar-SA"/>
          <w14:ligatures w14:val="none"/>
        </w:rPr>
        <w:t>Procedura di Esecuzione di Criptovaluta</w:t>
      </w:r>
      <w:r w:rsidRPr="000B5034">
        <w:rPr>
          <w:rFonts w:ascii="Times New Roman" w:eastAsia="MS Mincho" w:hAnsi="Times New Roman" w:cs="Times New Roman"/>
          <w:kern w:val="0"/>
          <w:sz w:val="20"/>
          <w:szCs w:val="20"/>
          <w:lang w:val="es-ES" w:bidi="ar-SA"/>
          <w14:ligatures w14:val="none"/>
        </w:rPr>
        <w:t>"). Il ricavato della Procedura di Esecuzione di Criptovaluta (meno eventuali commissioni applicabili in relazione alla vendita delle unità di Criptovaluta e al trasferimento dell'importo in contanti) sarà utilizzato per il rimborso dei Bond. L'Emittente può scegliere di addebitare una Commissione di Esercizio al rispettivo Titolare di Bond anche in caso di Procedura di Esecuzione di Criptovaluta parzialmente o totalmente fallita.</w:t>
      </w:r>
    </w:p>
    <w:p w14:paraId="49FCB9BF" w14:textId="77777777" w:rsidR="006C52BB" w:rsidRPr="000B5034" w:rsidRDefault="006C52BB" w:rsidP="006C52BB">
      <w:pPr>
        <w:keepNext/>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Rimborso in caso di un Inadempimento (Event of Default):</w:t>
      </w:r>
      <w:r w:rsidRPr="000B5034">
        <w:rPr>
          <w:rFonts w:ascii="Times New Roman" w:eastAsia="MS Mincho" w:hAnsi="Times New Roman" w:cs="Times New Roman"/>
          <w:kern w:val="0"/>
          <w:sz w:val="20"/>
          <w:szCs w:val="20"/>
          <w:lang w:val="es-ES" w:bidi="ar-SA"/>
          <w14:ligatures w14:val="none"/>
        </w:rPr>
        <w:t xml:space="preserve"> I Bond prevedono per inadempimento il diritto di ciascun Titolare di Bond di richiedere il rimborso immediato al Diritto di Criptovaluta.</w:t>
      </w:r>
    </w:p>
    <w:p w14:paraId="7F6EB378" w14:textId="77777777" w:rsidR="006C52BB" w:rsidRPr="000B5034" w:rsidRDefault="006C52BB" w:rsidP="006C52BB">
      <w:pPr>
        <w:keepNext/>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Adeguamenti al Diritto di Criptovaluta:</w:t>
      </w:r>
      <w:r w:rsidRPr="000B5034">
        <w:rPr>
          <w:rFonts w:ascii="Times New Roman" w:eastAsia="MS Mincho" w:hAnsi="Times New Roman" w:cs="Times New Roman"/>
          <w:kern w:val="0"/>
          <w:sz w:val="20"/>
          <w:szCs w:val="20"/>
          <w:lang w:val="es-ES" w:bidi="ar-SA"/>
          <w14:ligatures w14:val="none"/>
        </w:rPr>
        <w:t xml:space="preserve"> Al verificarsi di determinati eventi che incidono sulla Criptovaluta sottostante e/o sul Diritto di Criptovaluta (ciascuno, un "</w:t>
      </w:r>
      <w:r w:rsidRPr="000B5034">
        <w:rPr>
          <w:rFonts w:ascii="Times New Roman" w:eastAsia="MS Mincho" w:hAnsi="Times New Roman" w:cs="Times New Roman"/>
          <w:b/>
          <w:bCs/>
          <w:kern w:val="0"/>
          <w:sz w:val="20"/>
          <w:szCs w:val="20"/>
          <w:lang w:val="es-ES" w:bidi="ar-SA"/>
          <w14:ligatures w14:val="none"/>
        </w:rPr>
        <w:t>Evento di Adeguamento</w:t>
      </w:r>
      <w:r w:rsidRPr="000B5034">
        <w:rPr>
          <w:rFonts w:ascii="Times New Roman" w:eastAsia="MS Mincho" w:hAnsi="Times New Roman" w:cs="Times New Roman"/>
          <w:kern w:val="0"/>
          <w:sz w:val="20"/>
          <w:szCs w:val="20"/>
          <w:lang w:val="es-ES" w:bidi="ar-SA"/>
          <w14:ligatures w14:val="none"/>
        </w:rPr>
        <w:t>"), l'Emittente dovrà apportare adeguamenti alla Criptovaluta o al Diritto di Criptovaluta, sospendere i ribilanciamenti programmati dell'Indice, o sostituire l'Indice sottostante rilevante con un nuovo Indice simile, in ciascun caso se e nella misura ritenuta necessaria a suo giudizio.</w:t>
      </w:r>
    </w:p>
    <w:p w14:paraId="4EFF21C5" w14:textId="5F5A498A" w:rsidR="006C52BB" w:rsidRPr="000B5034" w:rsidRDefault="006C52BB" w:rsidP="0014644E">
      <w:pPr>
        <w:keepNext/>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Sospensione dei Rimborsi:</w:t>
      </w:r>
      <w:r w:rsidRPr="000B5034">
        <w:rPr>
          <w:rFonts w:ascii="Times New Roman" w:eastAsia="MS Mincho" w:hAnsi="Times New Roman" w:cs="Times New Roman"/>
          <w:kern w:val="0"/>
          <w:sz w:val="20"/>
          <w:szCs w:val="20"/>
          <w:lang w:val="es-ES" w:bidi="ar-SA"/>
          <w14:ligatures w14:val="none"/>
        </w:rPr>
        <w:t xml:space="preserve"> Al verificarsi di determinati eventi che causano un'interruzione riguardante (i) la negoziazione della Criptovaluta, (ii) i servizi da fornire da un fornitore di servizi, (iii) il Depositario e/o il protocollo di qualsiasi Criptovaluta applicabile o (iv) qualsiasi calcolo in relazione ai Bond (ciascuno, un "</w:t>
      </w:r>
      <w:r w:rsidRPr="000B5034">
        <w:rPr>
          <w:rFonts w:ascii="Times New Roman" w:eastAsia="MS Mincho" w:hAnsi="Times New Roman" w:cs="Times New Roman"/>
          <w:b/>
          <w:bCs/>
          <w:kern w:val="0"/>
          <w:sz w:val="20"/>
          <w:szCs w:val="20"/>
          <w:lang w:val="es-ES" w:bidi="ar-SA"/>
          <w14:ligatures w14:val="none"/>
        </w:rPr>
        <w:t>Evento di Disruption</w:t>
      </w:r>
      <w:r w:rsidRPr="000B5034">
        <w:rPr>
          <w:rFonts w:ascii="Times New Roman" w:eastAsia="MS Mincho" w:hAnsi="Times New Roman" w:cs="Times New Roman"/>
          <w:kern w:val="0"/>
          <w:sz w:val="20"/>
          <w:szCs w:val="20"/>
          <w:lang w:val="es-ES" w:bidi="ar-SA"/>
          <w14:ligatures w14:val="none"/>
        </w:rPr>
        <w:t>"), l'Emittente può sospendere i diritti o i tempi di (i) fare richieste di rimborso, (ii) effettuare il regolamento di qualsiasi rimborso o (iii) qualsiasi data di rimborso, regolamento o pagamento in relazione a ciò.</w:t>
      </w:r>
    </w:p>
    <w:p w14:paraId="46934A68" w14:textId="24995BC3" w:rsidR="00815EB2" w:rsidRPr="000B5034" w:rsidRDefault="00775C6A" w:rsidP="00775C6A">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n-US" w:bidi="ar-SA"/>
          <w14:ligatures w14:val="none"/>
        </w:rPr>
      </w:pPr>
      <w:r w:rsidRPr="000B5034">
        <w:rPr>
          <w:rFonts w:ascii="Times New Roman" w:eastAsia="Times New Roman" w:hAnsi="Times New Roman" w:cs="Times New Roman"/>
          <w:b/>
          <w:bCs/>
          <w:color w:val="000000"/>
          <w:kern w:val="0"/>
          <w:sz w:val="20"/>
          <w:szCs w:val="20"/>
          <w:lang w:bidi="ar-SA"/>
          <w14:ligatures w14:val="none"/>
        </w:rPr>
        <w:t>Dove saranno negoziati titoli?</w:t>
      </w:r>
    </w:p>
    <w:p w14:paraId="78F5B81C" w14:textId="1C01B44D" w:rsidR="008D5F49" w:rsidRPr="000B5034" w:rsidRDefault="008D5F49" w:rsidP="008D5F49">
      <w:pPr>
        <w:keepNext/>
        <w:spacing w:after="60" w:line="240" w:lineRule="auto"/>
        <w:jc w:val="both"/>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Si prevede che i Bond siano ammessi alla negoziazione sul mercato regolamentato della Borsa di Francoforte e sul SIX Swiss Exchange. L'Emittente può decidere di quotare i Bond su altri o ulteriori mercati regolamentati e/o disporre la negoziazione dei Bond su sistemi multilaterali di negoziazione, sistemi organizzati di negoziazione o tramite internalizzatori sistematici, il tutto ai sensi della Direttiva 2014/65/UE del Parlamento Europeo e del Consiglio del 15 maggio 2014 relativa ai mercati degli strumenti finanziari.</w:t>
      </w:r>
    </w:p>
    <w:p w14:paraId="099919AE" w14:textId="65F8C706" w:rsidR="00815EB2" w:rsidRPr="000B5034" w:rsidRDefault="008D5F49" w:rsidP="008D5F49">
      <w:pPr>
        <w:numPr>
          <w:ilvl w:val="2"/>
          <w:numId w:val="1"/>
        </w:numPr>
        <w:tabs>
          <w:tab w:val="num" w:pos="720"/>
        </w:tabs>
        <w:spacing w:after="180" w:line="240" w:lineRule="auto"/>
        <w:ind w:left="720"/>
        <w:jc w:val="both"/>
        <w:outlineLvl w:val="2"/>
        <w:rPr>
          <w:rFonts w:ascii="Times New Roman" w:eastAsia="Times New Roman" w:hAnsi="Times New Roman" w:cs="Times New Roman"/>
          <w:b/>
          <w:bCs/>
          <w:color w:val="000000"/>
          <w:kern w:val="0"/>
          <w:sz w:val="20"/>
          <w:szCs w:val="20"/>
          <w:lang w:val="fr-FR" w:bidi="ar-SA"/>
          <w14:ligatures w14:val="none"/>
        </w:rPr>
      </w:pPr>
      <w:r w:rsidRPr="000B5034">
        <w:rPr>
          <w:rFonts w:ascii="Times New Roman" w:eastAsia="Times New Roman" w:hAnsi="Times New Roman" w:cs="Times New Roman"/>
          <w:b/>
          <w:bCs/>
          <w:color w:val="000000"/>
          <w:kern w:val="0"/>
          <w:sz w:val="20"/>
          <w:szCs w:val="20"/>
          <w:lang w:val="fr-FR" w:bidi="ar-SA"/>
          <w14:ligatures w14:val="none"/>
        </w:rPr>
        <w:t>Quali sono i principali rischi specifici dei titoli?</w:t>
      </w:r>
    </w:p>
    <w:p w14:paraId="517ADBD6" w14:textId="3784E705" w:rsidR="00815EB2" w:rsidRPr="000B5034" w:rsidRDefault="008D5F49" w:rsidP="008D5F49">
      <w:pPr>
        <w:spacing w:after="60" w:line="240" w:lineRule="auto"/>
        <w:rPr>
          <w:rFonts w:ascii="Times New Roman" w:eastAsia="MS Mincho" w:hAnsi="Times New Roman" w:cs="Times New Roman"/>
          <w:i/>
          <w:kern w:val="0"/>
          <w:sz w:val="20"/>
          <w:szCs w:val="20"/>
          <w:lang w:val="fr-FR" w:bidi="ar-SA"/>
          <w14:ligatures w14:val="none"/>
        </w:rPr>
      </w:pPr>
      <w:r w:rsidRPr="000B5034">
        <w:rPr>
          <w:rFonts w:ascii="Times New Roman" w:eastAsia="MS Mincho" w:hAnsi="Times New Roman" w:cs="Times New Roman"/>
          <w:i/>
          <w:kern w:val="0"/>
          <w:sz w:val="20"/>
          <w:szCs w:val="20"/>
          <w:lang w:val="fr-FR" w:bidi="ar-SA"/>
          <w14:ligatures w14:val="none"/>
        </w:rPr>
        <w:t>I seguenti rischi principali potrebbero portare a perdite sostanziali per i Titolari di Bond. Ogni Titolare di Bond dovrebb sopportare eventuali perdite in caso di vendita dei propri Bond o per quanto riguarda il rimborso del capitale:</w:t>
      </w:r>
    </w:p>
    <w:p w14:paraId="71508059" w14:textId="4C820632" w:rsidR="00815EB2" w:rsidRPr="000B5034" w:rsidRDefault="00EB00B5" w:rsidP="00815EB2">
      <w:pPr>
        <w:spacing w:after="60" w:line="240" w:lineRule="auto"/>
        <w:jc w:val="both"/>
        <w:rPr>
          <w:rFonts w:ascii="Times New Roman" w:eastAsia="MS Mincho" w:hAnsi="Times New Roman" w:cs="Times New Roman"/>
          <w:b/>
          <w:kern w:val="0"/>
          <w:sz w:val="20"/>
          <w:szCs w:val="20"/>
          <w:lang w:val="es-ES" w:bidi="ar-SA"/>
          <w14:ligatures w14:val="none"/>
        </w:rPr>
      </w:pPr>
      <w:r w:rsidRPr="000B5034">
        <w:rPr>
          <w:rFonts w:ascii="Times New Roman" w:eastAsia="MS Mincho" w:hAnsi="Times New Roman" w:cs="Times New Roman"/>
          <w:b/>
          <w:kern w:val="0"/>
          <w:sz w:val="20"/>
          <w:szCs w:val="20"/>
          <w:lang w:val="es-ES" w:bidi="ar-SA"/>
          <w14:ligatures w14:val="none"/>
        </w:rPr>
        <w:t>Rischi relativi alla natura dei Bond e al Regolamento dei Bond</w:t>
      </w:r>
    </w:p>
    <w:p w14:paraId="72716731" w14:textId="77777777" w:rsidR="005379FF" w:rsidRPr="000B5034" w:rsidRDefault="005379FF" w:rsidP="004E5109">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Rischio di perdita relativo allo Staking:</w:t>
      </w:r>
      <w:r w:rsidRPr="000B5034">
        <w:rPr>
          <w:rFonts w:ascii="Times New Roman" w:eastAsia="MS Mincho" w:hAnsi="Times New Roman" w:cs="Times New Roman"/>
          <w:kern w:val="0"/>
          <w:sz w:val="20"/>
          <w:szCs w:val="20"/>
          <w:lang w:val="es-ES" w:bidi="ar-SA"/>
          <w14:ligatures w14:val="none"/>
        </w:rPr>
        <w:t xml:space="preserve"> Alcuni protocolli proof of stake impongono penalità ai validatori che validano trascuratamente o maliziosamente le transazioni sui protocolli (le "</w:t>
      </w:r>
      <w:r w:rsidRPr="000B5034">
        <w:rPr>
          <w:rFonts w:ascii="Times New Roman" w:eastAsia="MS Mincho" w:hAnsi="Times New Roman" w:cs="Times New Roman"/>
          <w:b/>
          <w:bCs/>
          <w:kern w:val="0"/>
          <w:sz w:val="20"/>
          <w:szCs w:val="20"/>
          <w:lang w:val="es-ES" w:bidi="ar-SA"/>
          <w14:ligatures w14:val="none"/>
        </w:rPr>
        <w:t>Penalità di Staking</w:t>
      </w:r>
      <w:r w:rsidRPr="000B5034">
        <w:rPr>
          <w:rFonts w:ascii="Times New Roman" w:eastAsia="MS Mincho" w:hAnsi="Times New Roman" w:cs="Times New Roman"/>
          <w:kern w:val="0"/>
          <w:sz w:val="20"/>
          <w:szCs w:val="20"/>
          <w:lang w:val="es-ES" w:bidi="ar-SA"/>
          <w14:ligatures w14:val="none"/>
        </w:rPr>
        <w:t>"). Tali Penalità di Staking possono anche essere imposte a causa di errori involontari, problemi tecnologici, hacking e altre attività malevole. Le Penalità di Staking possono comprendere la perdita di ricompense così come la perdita delle unità della Criptovaluta sottostante sottoposta allo Staking. Se tali Penalità di Staking sono applicate alle Criptovalute che sono soggette allo Staking da parte dell'Emittente e l'Emittente non è in grado di mitigare o compensare completamente gli effetti di questi eventi sull'Importo delle Obbligazioni Garantite a causa dell'incapacità del Fornitore di Staking o del Depositario di soddisfare le loro obbligazioni nei confronti dell'Emittente, l'Emittente ha il diritto di adeguare il Diritto di Criptovaluta. Ciò si tradurrà effettivamente in una riduzione del Diritto di Criptovaluta, anche a zero, cosicché gli investitori in tali Bond possono subire una perdita totale del loro investimento.</w:t>
      </w:r>
    </w:p>
    <w:p w14:paraId="0390C28F" w14:textId="77777777" w:rsidR="005379FF" w:rsidRPr="000B5034" w:rsidRDefault="005379FF" w:rsidP="004E5109">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lastRenderedPageBreak/>
        <w:t>Rischio in connessione con il ritardato deposito delle Ricompense di Staking:</w:t>
      </w:r>
      <w:r w:rsidRPr="000B5034">
        <w:rPr>
          <w:rFonts w:ascii="Times New Roman" w:eastAsia="MS Mincho" w:hAnsi="Times New Roman" w:cs="Times New Roman"/>
          <w:kern w:val="0"/>
          <w:sz w:val="20"/>
          <w:szCs w:val="20"/>
          <w:lang w:val="es-ES" w:bidi="ar-SA"/>
          <w14:ligatures w14:val="none"/>
        </w:rPr>
        <w:t xml:space="preserve"> Sebbene le unità di Criptovaluta ricevute dall'Emittente in relazione alla sottoscrizione dei Bond verranno trasferite direttamente al Portafoglio di Deposito e saranno garantite da un accordo di garanzia a favore dei Titolari di Bond, le ricompense ricevute per lo Staking ("</w:t>
      </w:r>
      <w:r w:rsidRPr="000B5034">
        <w:rPr>
          <w:rFonts w:ascii="Times New Roman" w:eastAsia="MS Mincho" w:hAnsi="Times New Roman" w:cs="Times New Roman"/>
          <w:b/>
          <w:bCs/>
          <w:kern w:val="0"/>
          <w:sz w:val="20"/>
          <w:szCs w:val="20"/>
          <w:lang w:val="es-ES" w:bidi="ar-SA"/>
          <w14:ligatures w14:val="none"/>
        </w:rPr>
        <w:t>Ricompense di Staking</w:t>
      </w:r>
      <w:r w:rsidRPr="000B5034">
        <w:rPr>
          <w:rFonts w:ascii="Times New Roman" w:eastAsia="MS Mincho" w:hAnsi="Times New Roman" w:cs="Times New Roman"/>
          <w:kern w:val="0"/>
          <w:sz w:val="20"/>
          <w:szCs w:val="20"/>
          <w:lang w:val="es-ES" w:bidi="ar-SA"/>
          <w14:ligatures w14:val="none"/>
        </w:rPr>
        <w:t>") non verranno pagate e trasferite immediatamente al Portafoglio di Deposito, ma qualsiasi pagamento e trasferimento di tali Ricompense di Staking sono soggetti alle regole del rispettivo protocollo sottostante. Il pagamento e il trasferimento delle unità della rispettiva Criptovaluta sottostante guadagnata come Ricompense di Staking e il deposito di tali Ricompense di Staking nel Portafoglio di Deposito possono quindi richiedere un certo periodo di tempo durante il quale le Ricompense di Staking non fanno parte della Criptovaluta Depositata. Di conseguenza, i Titolari di Bond potrebbero non essere sufficientemente protetti in caso di fallimento o liquidazione del Fornitore di Staking per vari motivi durante tale periodo.</w:t>
      </w:r>
    </w:p>
    <w:p w14:paraId="63848FE2" w14:textId="77777777" w:rsidR="005379FF" w:rsidRPr="000B5034" w:rsidRDefault="005379FF" w:rsidP="004E5109">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I Titolari di Bond sono esposti al rischio di perdite se un rimborso in contanti fallisce a causa della mancanza di ordini di acquisto o dell'indisponibilità del prezzo di riferimento richiesto:</w:t>
      </w:r>
      <w:r w:rsidRPr="000B5034">
        <w:rPr>
          <w:rFonts w:ascii="Times New Roman" w:eastAsia="MS Mincho" w:hAnsi="Times New Roman" w:cs="Times New Roman"/>
          <w:kern w:val="0"/>
          <w:sz w:val="20"/>
          <w:szCs w:val="20"/>
          <w:lang w:val="es-ES" w:bidi="ar-SA"/>
          <w14:ligatures w14:val="none"/>
        </w:rPr>
        <w:t xml:space="preserve"> In caso di rimborsi in contanti, l'Emittente deve organizzare una Procedura di Esecuzione di Criptovaluta per rimborsare i Bond. Se tale Procedura di Esecuzione di Criptovaluta fallisce per qualsiasi motivo, inclusi, senza limitazioni, a causa di un'interruzione della disponibilità del prezzo di riferimento della Criptovaluta sottostante, i Titolari di Bond si assumono il rischio che i Bond non possano essere rimborsati in contanti dall'Emittente e possano essere venduti solo sul mercato secondario.</w:t>
      </w:r>
    </w:p>
    <w:p w14:paraId="6F90CA2F" w14:textId="77777777" w:rsidR="005379FF" w:rsidRPr="000B5034" w:rsidRDefault="005379FF" w:rsidP="004E5109">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Rischi connessi ai Rimborsi Volontari:</w:t>
      </w:r>
      <w:r w:rsidRPr="000B5034">
        <w:rPr>
          <w:rFonts w:ascii="Times New Roman" w:eastAsia="MS Mincho" w:hAnsi="Times New Roman" w:cs="Times New Roman"/>
          <w:kern w:val="0"/>
          <w:sz w:val="20"/>
          <w:szCs w:val="20"/>
          <w:lang w:val="es-ES" w:bidi="ar-SA"/>
          <w14:ligatures w14:val="none"/>
        </w:rPr>
        <w:t xml:space="preserve"> Gli investitori nei Bond hanno il diritto di richiedere un Rimborso Volontario e di rimborsare i Bond con l'Emittente a fronte del pagamento del Diritto di Criptovaluta. Tuttavia, gli investitori potrebbero non essere in grado di esercitare questo diritto, se non forniscono all'Emittente informazioni sufficienti in conformità al Regolamento. Inoltre, se i Titolari di Bond esercitano il loro diritto di Rimborso Volontario e richiedono la liquidazione in USD, gli obblighi dell'Emittente di versare USD a tale Titolare di Bond dopo la consegna dei relativi Bond all'Emittente costituiscono obblighi non garantiti dell'Emittente. Solo gli obblighi di regolamento relativi al Rimborso Volontario con regolamento fisico (gli "</w:t>
      </w:r>
      <w:r w:rsidRPr="000B5034">
        <w:rPr>
          <w:rFonts w:ascii="Times New Roman" w:eastAsia="MS Mincho" w:hAnsi="Times New Roman" w:cs="Times New Roman"/>
          <w:b/>
          <w:bCs/>
          <w:kern w:val="0"/>
          <w:sz w:val="20"/>
          <w:szCs w:val="20"/>
          <w:lang w:val="es-ES" w:bidi="ar-SA"/>
          <w14:ligatures w14:val="none"/>
        </w:rPr>
        <w:t>Obblighi di Rimborso Garantiti</w:t>
      </w:r>
      <w:r w:rsidRPr="000B5034">
        <w:rPr>
          <w:rFonts w:ascii="Times New Roman" w:eastAsia="MS Mincho" w:hAnsi="Times New Roman" w:cs="Times New Roman"/>
          <w:kern w:val="0"/>
          <w:sz w:val="20"/>
          <w:szCs w:val="20"/>
          <w:lang w:val="es-ES" w:bidi="ar-SA"/>
          <w14:ligatures w14:val="none"/>
        </w:rPr>
        <w:t>") costituiscono obbligazioni garantite dell'Emittente. I crediti di un Titolare di Bond per pagamenti in contanti dovuti al Rimborso Volontario con regolamento in contanti saranno liquidati solo dopo che il relativo Titolare di Bond avrà consegnato i Bond all'Emittente e, durante il periodo dalla consegna dei Bond fino all'effettivo pagamento di USD, il relativo Titolare di Bond non sarà più il proprietario del Bond, né avrà un diritto garantito nei confronti dell'Emittente.</w:t>
      </w:r>
    </w:p>
    <w:p w14:paraId="4B3F5CB3" w14:textId="77777777" w:rsidR="00CB0A5B" w:rsidRPr="000B5034" w:rsidRDefault="00CB0A5B" w:rsidP="004E5109">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Rimborso Obbligatorio:</w:t>
      </w:r>
      <w:r w:rsidRPr="000B5034">
        <w:rPr>
          <w:rFonts w:ascii="Times New Roman" w:eastAsia="MS Mincho" w:hAnsi="Times New Roman" w:cs="Times New Roman"/>
          <w:kern w:val="0"/>
          <w:sz w:val="20"/>
          <w:szCs w:val="20"/>
          <w:lang w:val="es-ES" w:bidi="ar-SA"/>
          <w14:ligatures w14:val="none"/>
        </w:rPr>
        <w:t xml:space="preserve"> In caso di verificarsi di determinati eventi come ulteriormente specificato nel Regolamento, l'Emittente può (ma non è tenuta a) in qualsiasi momento, a propria discrezione, decidere di estinguere e rimborsare tutti ma non alcuni dei Bond al loro prezzo di rimborso obbligatorio, che è (i) un importo pari al Diritto di Criptovaluta; o (ii) se un Titolare di Bond opta per il rimborso in contanti, i proventi della Procedura di Esecuzione di Criptovaluta relativi alla Criptovaluta pari al Diritto di Criptovaluta alla data di rimborso obbligatorio, meno qualsiasi commissione ragionevole di terzi relativa al rimborso dei Bond, (il "</w:t>
      </w:r>
      <w:r w:rsidRPr="000B5034">
        <w:rPr>
          <w:rFonts w:ascii="Times New Roman" w:eastAsia="MS Mincho" w:hAnsi="Times New Roman" w:cs="Times New Roman"/>
          <w:b/>
          <w:bCs/>
          <w:kern w:val="0"/>
          <w:sz w:val="20"/>
          <w:szCs w:val="20"/>
          <w:lang w:val="es-ES" w:bidi="ar-SA"/>
          <w14:ligatures w14:val="none"/>
        </w:rPr>
        <w:t>Prezzo di Rimborso Obbligatorio</w:t>
      </w:r>
      <w:r w:rsidRPr="000B5034">
        <w:rPr>
          <w:rFonts w:ascii="Times New Roman" w:eastAsia="MS Mincho" w:hAnsi="Times New Roman" w:cs="Times New Roman"/>
          <w:kern w:val="0"/>
          <w:sz w:val="20"/>
          <w:szCs w:val="20"/>
          <w:lang w:val="es-ES" w:bidi="ar-SA"/>
          <w14:ligatures w14:val="none"/>
        </w:rPr>
        <w:t>"). Nell'esercizio di tale discrezione, l'Emittente non è tenuta ad avere alcun riguardo per gli interessi dei Titolari di Bond, e i Titolari di Bond possono ricevere meno, o sostanzialmente meno, del loro investimento iniziale. Il Prezzo di Rimborso Obbligatorio dei Bond rimborsati in contanti può essere inferiore o sostanzialmente inferiore all'equivalente prezzo della Criptovaluta, in quanto l'Emittente cercherà di vendere la Criptovaluta utilizzando la Procedura di Esecuzione di Criptovaluta e si applicano tutti i rischi relativi alla vendita della Criptovaluta come descritto sopra. Inoltre, il rimborso obbligatorio potrebbe comportare l'effettiva cessione dei Bond a fini fiscali da parte di alcuni o di tutti i Titolari di Bond in una data precedente a quella pianificata o prevista, il che può comportare un trattamento fiscale meno vantaggioso dell'investimento in Bond per tali Titolari di Bond rispetto a quanto sarebbe altrimenti disponibile se l'investimento fosse mantenuto per un periodo di tempo più lungo.</w:t>
      </w:r>
    </w:p>
    <w:p w14:paraId="58D4242E" w14:textId="77777777" w:rsidR="00CB0A5B" w:rsidRPr="000B5034" w:rsidRDefault="00CB0A5B" w:rsidP="004E5109">
      <w:pPr>
        <w:spacing w:after="60" w:line="240" w:lineRule="auto"/>
        <w:jc w:val="both"/>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b/>
          <w:bCs/>
          <w:i/>
          <w:iCs/>
          <w:kern w:val="0"/>
          <w:sz w:val="20"/>
          <w:szCs w:val="20"/>
          <w:lang w:val="en-US" w:bidi="ar-SA"/>
          <w14:ligatures w14:val="none"/>
        </w:rPr>
        <w:t>Rischi in relazione agli Eventi di Adeguamento:</w:t>
      </w:r>
      <w:r w:rsidRPr="000B5034">
        <w:rPr>
          <w:rFonts w:ascii="Times New Roman" w:eastAsia="MS Mincho" w:hAnsi="Times New Roman" w:cs="Times New Roman"/>
          <w:kern w:val="0"/>
          <w:sz w:val="20"/>
          <w:szCs w:val="20"/>
          <w:lang w:val="en-US" w:bidi="ar-SA"/>
          <w14:ligatures w14:val="none"/>
        </w:rPr>
        <w:t xml:space="preserve"> Al verificarsi di determinati eventi in relazione alla Criptovaluta sottostante che influenzano la Criptovaluta sottostante e/o il Diritto di Criptovaluta causando la necessità di adeguamenti alla Criptovaluta sottostante e/o al Diritto di Criptovaluta (ciascuno, un "</w:t>
      </w:r>
      <w:r w:rsidRPr="000B5034">
        <w:rPr>
          <w:rFonts w:ascii="Times New Roman" w:eastAsia="MS Mincho" w:hAnsi="Times New Roman" w:cs="Times New Roman"/>
          <w:b/>
          <w:bCs/>
          <w:kern w:val="0"/>
          <w:sz w:val="20"/>
          <w:szCs w:val="20"/>
          <w:lang w:val="en-US" w:bidi="ar-SA"/>
          <w14:ligatures w14:val="none"/>
        </w:rPr>
        <w:t>Evento di Adeguamento</w:t>
      </w:r>
      <w:r w:rsidRPr="000B5034">
        <w:rPr>
          <w:rFonts w:ascii="Times New Roman" w:eastAsia="MS Mincho" w:hAnsi="Times New Roman" w:cs="Times New Roman"/>
          <w:kern w:val="0"/>
          <w:sz w:val="20"/>
          <w:szCs w:val="20"/>
          <w:lang w:val="en-US" w:bidi="ar-SA"/>
          <w14:ligatures w14:val="none"/>
        </w:rPr>
        <w:t>"), l'Emittente deve, se ritenuto opportuno a suo parere, (i) effettuare un adeguamento del Diritto di Criptovaluta per tener conto dell'effetto economico sui Bond di tali eventi, (ii) sospendere i ribilanciamenti programmati dell'Indice, o (iii) sostituire l'Indice sottostante rilevante con un nuovo Indice simile. A seconda dell'azione specifica intrapresa dall'Emittente in risposta a un Evento di Adeguamento, il valore dei Diritti di Criptovaluta e dei Bond può svilupparsi diversamente e il rendimento per i Titolari di Bond può essere inferiore (o notevolmente inferiore) rispetto a quanto sarebbe stato se l'Evento di Adeguamento non si fosse verificato.</w:t>
      </w:r>
    </w:p>
    <w:p w14:paraId="008DC2AE" w14:textId="77777777" w:rsidR="007B11FE" w:rsidRPr="000B5034" w:rsidRDefault="007B11FE" w:rsidP="004E5109">
      <w:pPr>
        <w:spacing w:after="60" w:line="240" w:lineRule="auto"/>
        <w:jc w:val="both"/>
        <w:rPr>
          <w:rFonts w:ascii="Times New Roman" w:eastAsia="MS Mincho" w:hAnsi="Times New Roman" w:cs="Times New Roman"/>
          <w:b/>
          <w:bCs/>
          <w:kern w:val="0"/>
          <w:sz w:val="20"/>
          <w:szCs w:val="20"/>
          <w:lang w:val="fr-FR" w:bidi="ar-SA"/>
          <w14:ligatures w14:val="none"/>
        </w:rPr>
      </w:pPr>
      <w:r w:rsidRPr="000B5034">
        <w:rPr>
          <w:rFonts w:ascii="Times New Roman" w:eastAsia="MS Mincho" w:hAnsi="Times New Roman" w:cs="Times New Roman"/>
          <w:b/>
          <w:bCs/>
          <w:kern w:val="0"/>
          <w:sz w:val="20"/>
          <w:szCs w:val="20"/>
          <w:lang w:val="fr-FR" w:bidi="ar-SA"/>
          <w14:ligatures w14:val="none"/>
        </w:rPr>
        <w:t xml:space="preserve">Rischi connessi alla Garanzia dei Bond </w:t>
      </w:r>
    </w:p>
    <w:p w14:paraId="0E81CDBA" w14:textId="28F95710" w:rsidR="00CB0A5B" w:rsidRPr="000B5034" w:rsidRDefault="007B11FE" w:rsidP="004E5109">
      <w:pPr>
        <w:spacing w:after="60" w:line="240" w:lineRule="auto"/>
        <w:jc w:val="both"/>
        <w:rPr>
          <w:rFonts w:ascii="Times New Roman" w:eastAsia="MS Mincho" w:hAnsi="Times New Roman" w:cs="Times New Roman"/>
          <w:kern w:val="0"/>
          <w:sz w:val="20"/>
          <w:szCs w:val="20"/>
          <w:lang w:val="fr-FR" w:bidi="ar-SA"/>
          <w14:ligatures w14:val="none"/>
        </w:rPr>
      </w:pPr>
      <w:r w:rsidRPr="000B5034">
        <w:rPr>
          <w:rFonts w:ascii="Times New Roman" w:eastAsia="MS Mincho" w:hAnsi="Times New Roman" w:cs="Times New Roman"/>
          <w:b/>
          <w:bCs/>
          <w:i/>
          <w:iCs/>
          <w:kern w:val="0"/>
          <w:sz w:val="20"/>
          <w:szCs w:val="20"/>
          <w:lang w:val="fr-FR" w:bidi="ar-SA"/>
          <w14:ligatures w14:val="none"/>
        </w:rPr>
        <w:t xml:space="preserve">La garanzia concessa per garantire i Bond potrebbe non essere esecutiva o l’esecutività della garanzia può essere ritardata: </w:t>
      </w:r>
      <w:r w:rsidRPr="000B5034">
        <w:rPr>
          <w:rFonts w:ascii="Times New Roman" w:eastAsia="MS Mincho" w:hAnsi="Times New Roman" w:cs="Times New Roman"/>
          <w:kern w:val="0"/>
          <w:sz w:val="20"/>
          <w:szCs w:val="20"/>
          <w:lang w:val="fr-FR" w:bidi="ar-SA"/>
          <w14:ligatures w14:val="none"/>
        </w:rPr>
        <w:t xml:space="preserve">L'Emittente si è impegnata (salvo determinate eccezioni) ad avere un importo in Criptovaluta pari o superiore all'Importo degli Obblighi Garantiti sempre depositato presso il Depositario, e a creare un interesse di garanzia rispetto ai diritti e alle pretese derivanti in connessione con il Portafoglio del Depositario a favore dei </w:t>
      </w:r>
      <w:r w:rsidRPr="000B5034">
        <w:rPr>
          <w:rFonts w:ascii="Times New Roman" w:eastAsia="MS Mincho" w:hAnsi="Times New Roman" w:cs="Times New Roman"/>
          <w:kern w:val="0"/>
          <w:sz w:val="20"/>
          <w:szCs w:val="20"/>
          <w:lang w:val="fr-FR" w:bidi="ar-SA"/>
          <w14:ligatures w14:val="none"/>
        </w:rPr>
        <w:lastRenderedPageBreak/>
        <w:t>Titolari di Bond. Tali accordi di garanzia potrebbero non essere sufficienti a proteggere i Titolari di Bond in caso di fallimento o liquidazione dell'Emittente o del Depositario a causa di varie ragioni.</w:t>
      </w:r>
    </w:p>
    <w:p w14:paraId="6CE27554" w14:textId="77777777" w:rsidR="00BE5FEE" w:rsidRPr="000B5034" w:rsidRDefault="00BE5FEE" w:rsidP="004E5109">
      <w:pPr>
        <w:spacing w:after="60" w:line="240" w:lineRule="auto"/>
        <w:jc w:val="both"/>
        <w:rPr>
          <w:rFonts w:ascii="Times New Roman" w:eastAsia="MS Mincho" w:hAnsi="Times New Roman" w:cs="Times New Roman"/>
          <w:kern w:val="0"/>
          <w:sz w:val="20"/>
          <w:szCs w:val="20"/>
          <w:lang w:val="fr-FR" w:bidi="ar-SA"/>
          <w14:ligatures w14:val="none"/>
        </w:rPr>
      </w:pPr>
      <w:r w:rsidRPr="000B5034">
        <w:rPr>
          <w:rFonts w:ascii="Times New Roman" w:eastAsia="MS Mincho" w:hAnsi="Times New Roman" w:cs="Times New Roman"/>
          <w:b/>
          <w:bCs/>
          <w:kern w:val="0"/>
          <w:sz w:val="20"/>
          <w:szCs w:val="20"/>
          <w:lang w:val="fr-FR" w:bidi="ar-SA"/>
          <w14:ligatures w14:val="none"/>
        </w:rPr>
        <w:t>Rischi connessi a ETH come Criptovaluta sottostante</w:t>
      </w:r>
      <w:r w:rsidRPr="000B5034">
        <w:rPr>
          <w:rFonts w:ascii="Times New Roman" w:eastAsia="MS Mincho" w:hAnsi="Times New Roman" w:cs="Times New Roman"/>
          <w:kern w:val="0"/>
          <w:sz w:val="20"/>
          <w:szCs w:val="20"/>
          <w:lang w:val="fr-FR" w:bidi="ar-SA"/>
          <w14:ligatures w14:val="none"/>
        </w:rPr>
        <w:t xml:space="preserve"> </w:t>
      </w:r>
    </w:p>
    <w:p w14:paraId="77B57608" w14:textId="17B3EEF2" w:rsidR="00BE5FEE" w:rsidRPr="000B5034" w:rsidRDefault="00BE5FEE" w:rsidP="004E5109">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fr-FR" w:bidi="ar-SA"/>
          <w14:ligatures w14:val="none"/>
        </w:rPr>
        <w:t>Volatilità del prezzo della Criptovaluta:</w:t>
      </w:r>
      <w:r w:rsidRPr="000B5034">
        <w:rPr>
          <w:rFonts w:ascii="Times New Roman" w:eastAsia="MS Mincho" w:hAnsi="Times New Roman" w:cs="Times New Roman"/>
          <w:kern w:val="0"/>
          <w:sz w:val="20"/>
          <w:szCs w:val="20"/>
          <w:lang w:val="fr-FR" w:bidi="ar-SA"/>
          <w14:ligatures w14:val="none"/>
        </w:rPr>
        <w:t xml:space="preserve"> Il valore dei Bond è influenzato dal prezzo della Criptovaluta come sottostante. Il prezzo della Criptovaluta fluttua ampiamente e, ad esempio, può essere influenzato da eventi politici, economici o finanziari globali e regionali, eventi normativi o dichiarazioni delle autorità di regolamentazione, investment trading, attività di copertura o altre attività da parte di una vasta gamma di partecipanti al mercato, forzature nei protocolli sottostanti, interruzioni dell'infrastruttura o dei mezzi con cui vengono prodotti, distribuiti, immagazzinati e scambiati gli asset cripto. </w:t>
      </w:r>
      <w:r w:rsidRPr="000B5034">
        <w:rPr>
          <w:rFonts w:ascii="Times New Roman" w:eastAsia="MS Mincho" w:hAnsi="Times New Roman" w:cs="Times New Roman"/>
          <w:kern w:val="0"/>
          <w:sz w:val="20"/>
          <w:szCs w:val="20"/>
          <w:lang w:val="es-ES" w:bidi="ar-SA"/>
          <w14:ligatures w14:val="none"/>
        </w:rPr>
        <w:t>Il prezzo della Criptovaluta può anche cambiare a causa del cambiamento di fiducia degli investitori nelle prospettive future della classe di attività. Le caratteristiche della Criptovaluta e la divergenza degli standard normativi applicabili creano il potenziale di abuso di mercato e potrebbero portare ad un'elevata volatilità dei prezzi. Gli importi ricevuti dai Titolari di Bond (i) al momento del rimborso dei Bond in USD, nei casi in cui ai Titolari di Bond non sia possibile ricevere Criptovaluta per motivi legali o regolamentari; o (ii) alla vendita in borsa dipende dall'andamento del prezzo della Criptovaluta e dalla liquidità disponibile.</w:t>
      </w:r>
    </w:p>
    <w:p w14:paraId="39231CCD" w14:textId="77777777" w:rsidR="00BE5FEE" w:rsidRPr="000B5034" w:rsidRDefault="00BE5FEE" w:rsidP="004E5109">
      <w:pPr>
        <w:spacing w:after="60" w:line="240" w:lineRule="auto"/>
        <w:jc w:val="both"/>
        <w:rPr>
          <w:rFonts w:ascii="Times New Roman" w:eastAsia="MS Mincho" w:hAnsi="Times New Roman" w:cs="Times New Roman"/>
          <w:b/>
          <w:bCs/>
          <w:kern w:val="0"/>
          <w:sz w:val="20"/>
          <w:szCs w:val="20"/>
          <w:lang w:val="es-ES" w:bidi="ar-SA"/>
          <w14:ligatures w14:val="none"/>
        </w:rPr>
      </w:pPr>
      <w:r w:rsidRPr="000B5034">
        <w:rPr>
          <w:rFonts w:ascii="Times New Roman" w:eastAsia="MS Mincho" w:hAnsi="Times New Roman" w:cs="Times New Roman"/>
          <w:b/>
          <w:bCs/>
          <w:kern w:val="0"/>
          <w:sz w:val="20"/>
          <w:szCs w:val="20"/>
          <w:lang w:val="es-ES" w:bidi="ar-SA"/>
          <w14:ligatures w14:val="none"/>
        </w:rPr>
        <w:t>Rischi connessi all’ammissione dei titoli a negoziazione</w:t>
      </w:r>
    </w:p>
    <w:p w14:paraId="077E177B" w14:textId="1314B40D" w:rsidR="00BE5FEE" w:rsidRPr="000B5034" w:rsidRDefault="00BE5FEE" w:rsidP="004E5109">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Rischi connessi all'ammissione alla negoziazione:</w:t>
      </w:r>
      <w:r w:rsidRPr="000B5034">
        <w:rPr>
          <w:rFonts w:ascii="Times New Roman" w:eastAsia="MS Mincho" w:hAnsi="Times New Roman" w:cs="Times New Roman"/>
          <w:kern w:val="0"/>
          <w:sz w:val="20"/>
          <w:szCs w:val="20"/>
          <w:lang w:val="es-ES" w:bidi="ar-SA"/>
          <w14:ligatures w14:val="none"/>
        </w:rPr>
        <w:t xml:space="preserve"> Il prezzo di negoziazione dei Bond potrebbe diminuire se il merito di credito dell'Emittente o delle parti associate peggiora o è percepito come peggiorativo, indipendentemente dal fatto che i Bond siano garantiti dalle effettive disponibilità di Criptovaluta. Il rischio consiste nel fatto che terzi siano disposti ad acquistare Bond solo con uno sconto sostanziale rispetto al prezzo della Criptovaluta, che a sua volta può comportare la perdita dell'investimento nei Bond da parte di un Titolare di Bond.</w:t>
      </w:r>
    </w:p>
    <w:p w14:paraId="79CC4AEE" w14:textId="77777777" w:rsidR="00A929B7" w:rsidRPr="000B5034" w:rsidRDefault="00BE5FEE" w:rsidP="004E5109">
      <w:pPr>
        <w:spacing w:after="60" w:line="240" w:lineRule="auto"/>
        <w:jc w:val="both"/>
        <w:rPr>
          <w:rFonts w:ascii="Times New Roman" w:eastAsia="MS Mincho" w:hAnsi="Times New Roman" w:cs="Times New Roman"/>
          <w:b/>
          <w:bCs/>
          <w:kern w:val="0"/>
          <w:sz w:val="20"/>
          <w:szCs w:val="20"/>
          <w:lang w:val="es-ES" w:bidi="ar-SA"/>
          <w14:ligatures w14:val="none"/>
        </w:rPr>
      </w:pPr>
      <w:r w:rsidRPr="000B5034">
        <w:rPr>
          <w:rFonts w:ascii="Times New Roman" w:eastAsia="MS Mincho" w:hAnsi="Times New Roman" w:cs="Times New Roman"/>
          <w:b/>
          <w:bCs/>
          <w:kern w:val="0"/>
          <w:sz w:val="20"/>
          <w:szCs w:val="20"/>
          <w:lang w:val="es-ES" w:bidi="ar-SA"/>
          <w14:ligatures w14:val="none"/>
        </w:rPr>
        <w:t xml:space="preserve">Rischi fiscali connessi ai Bond </w:t>
      </w:r>
    </w:p>
    <w:p w14:paraId="53042837" w14:textId="7F036347" w:rsidR="00F8281A" w:rsidRPr="000B5034" w:rsidRDefault="00BE5FEE" w:rsidP="004E5109">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Tassa sulle Transazioni Finanziarie:</w:t>
      </w:r>
      <w:r w:rsidRPr="000B5034">
        <w:rPr>
          <w:rFonts w:ascii="Times New Roman" w:eastAsia="MS Mincho" w:hAnsi="Times New Roman" w:cs="Times New Roman"/>
          <w:kern w:val="0"/>
          <w:sz w:val="20"/>
          <w:szCs w:val="20"/>
          <w:lang w:val="es-ES" w:bidi="ar-SA"/>
          <w14:ligatures w14:val="none"/>
        </w:rPr>
        <w:t xml:space="preserve"> Nel 2013 la Commissione europea ha pubblicato una proposta (la "Proposta della Commissione") di direttiva per una tassa comune sulle transazioni finanziarie (la "TTF"). Secondo la Proposta della Commissione, la TTF sarà attuata in alcuni Stati membri dell'UE, tra cui la Germania. Il rischio specifico è che la TTF possa comportare un trattamento fiscale negativo applicato ai Bond, che a sua volta può avere un effetto negativo sul rendimento dell'investimento del Titolare di Bond.</w:t>
      </w:r>
    </w:p>
    <w:p w14:paraId="640154EA" w14:textId="16A88284" w:rsidR="00815EB2" w:rsidRPr="000B5034" w:rsidRDefault="00A929B7" w:rsidP="004E5109">
      <w:pPr>
        <w:keepNext/>
        <w:keepLines/>
        <w:numPr>
          <w:ilvl w:val="1"/>
          <w:numId w:val="1"/>
        </w:numPr>
        <w:spacing w:after="60" w:line="240" w:lineRule="auto"/>
        <w:jc w:val="both"/>
        <w:outlineLvl w:val="1"/>
        <w:rPr>
          <w:rFonts w:ascii="Times New Roman" w:eastAsia="Times New Roman" w:hAnsi="Times New Roman" w:cs="Times New Roman"/>
          <w:b/>
          <w:bCs/>
          <w:caps/>
          <w:color w:val="000000"/>
          <w:kern w:val="0"/>
          <w:sz w:val="20"/>
          <w:szCs w:val="20"/>
          <w:lang w:val="es-ES" w:bidi="ar-SA"/>
          <w14:ligatures w14:val="none"/>
        </w:rPr>
      </w:pPr>
      <w:r w:rsidRPr="000B5034">
        <w:rPr>
          <w:rFonts w:ascii="Times New Roman" w:eastAsia="Times New Roman" w:hAnsi="Times New Roman" w:cs="Times New Roman"/>
          <w:b/>
          <w:bCs/>
          <w:caps/>
          <w:color w:val="000000"/>
          <w:kern w:val="0"/>
          <w:sz w:val="20"/>
          <w:szCs w:val="20"/>
          <w:lang w:val="es-ES" w:bidi="ar-SA"/>
          <w14:ligatures w14:val="none"/>
        </w:rPr>
        <w:t>INFORMAZIONI FONDAMENTALI SULL’OFFERTA PUBBLICA DI TITOLI E AMMISSIONE ALLA NEGOZIAZIONE IN UN MERCATO REGOLAMENTATO</w:t>
      </w:r>
    </w:p>
    <w:p w14:paraId="22237465" w14:textId="2A6CAEAE" w:rsidR="00815EB2" w:rsidRPr="000B5034" w:rsidRDefault="002C1F77" w:rsidP="004E5109">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0B5034">
        <w:rPr>
          <w:rFonts w:ascii="Times New Roman" w:eastAsia="Times New Roman" w:hAnsi="Times New Roman" w:cs="Times New Roman"/>
          <w:b/>
          <w:bCs/>
          <w:color w:val="000000"/>
          <w:kern w:val="0"/>
          <w:sz w:val="20"/>
          <w:szCs w:val="20"/>
          <w:lang w:val="es-ES" w:bidi="ar-SA"/>
          <w14:ligatures w14:val="none"/>
        </w:rPr>
        <w:t>A quali condizioni posso investire in questo titolo e qual è il calendario previsto?</w:t>
      </w:r>
    </w:p>
    <w:p w14:paraId="2FF5F83A" w14:textId="77777777" w:rsidR="000F7A8F" w:rsidRPr="000B5034" w:rsidRDefault="000F7A8F" w:rsidP="004E5109">
      <w:pPr>
        <w:keepNext/>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kern w:val="0"/>
          <w:sz w:val="20"/>
          <w:szCs w:val="20"/>
          <w:lang w:val="es-ES" w:bidi="ar-SA"/>
          <w14:ligatures w14:val="none"/>
        </w:rPr>
        <w:t xml:space="preserve">Le condizioni e il calendario di investimento nei Bond sono specificati in prosieguo. </w:t>
      </w:r>
    </w:p>
    <w:p w14:paraId="586BBEF4" w14:textId="77777777" w:rsidR="00C4210B" w:rsidRPr="000B5034" w:rsidRDefault="000F7A8F" w:rsidP="004E5109">
      <w:pPr>
        <w:keepNext/>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kern w:val="0"/>
          <w:sz w:val="20"/>
          <w:szCs w:val="20"/>
          <w:lang w:val="es-ES" w:bidi="ar-SA"/>
          <w14:ligatures w14:val="none"/>
        </w:rPr>
        <w:t xml:space="preserve">Questa emissione di Bond viene emessa per un importo complessivo fino a 3.200.000.000 di Bond garantiti da ETH. </w:t>
      </w:r>
    </w:p>
    <w:p w14:paraId="52BB7428" w14:textId="1CB05497" w:rsidR="000F7A8F" w:rsidRPr="000B5034" w:rsidRDefault="000F7A8F" w:rsidP="004E5109">
      <w:pPr>
        <w:keepNext/>
        <w:spacing w:after="60" w:line="240" w:lineRule="auto"/>
        <w:jc w:val="both"/>
        <w:rPr>
          <w:rFonts w:ascii="Times New Roman" w:eastAsia="MS Mincho" w:hAnsi="Times New Roman" w:cs="Times New Roman"/>
          <w:kern w:val="0"/>
          <w:sz w:val="20"/>
          <w:szCs w:val="20"/>
          <w:lang w:val="fr-FR" w:bidi="ar-SA"/>
          <w14:ligatures w14:val="none"/>
        </w:rPr>
      </w:pPr>
      <w:r w:rsidRPr="000B5034">
        <w:rPr>
          <w:rFonts w:ascii="Times New Roman" w:eastAsia="MS Mincho" w:hAnsi="Times New Roman" w:cs="Times New Roman"/>
          <w:b/>
          <w:bCs/>
          <w:i/>
          <w:iCs/>
          <w:kern w:val="0"/>
          <w:sz w:val="20"/>
          <w:szCs w:val="20"/>
          <w:lang w:val="es-ES" w:bidi="ar-SA"/>
          <w14:ligatures w14:val="none"/>
        </w:rPr>
        <w:t>Offerta Pubblica:</w:t>
      </w:r>
      <w:r w:rsidRPr="000B5034">
        <w:rPr>
          <w:rFonts w:ascii="Times New Roman" w:eastAsia="MS Mincho" w:hAnsi="Times New Roman" w:cs="Times New Roman"/>
          <w:kern w:val="0"/>
          <w:sz w:val="20"/>
          <w:szCs w:val="20"/>
          <w:lang w:val="es-ES" w:bidi="ar-SA"/>
          <w14:ligatures w14:val="none"/>
        </w:rPr>
        <w:t xml:space="preserve"> Nel mercato primario l'Emittente venderà i Bond solo ai Partecipanti Autorizzati e tali Bond potranno essere acquistati solo con Criptovaluta. Gli investitori che non sono Partecipanti Autorizzati possono acquistare i Bond sul mercato secondario (i) da un Partecipante Autorizzato, in conformità con le restrizioni di vendita applicabili, (ii) tramite una borsa valori tramite il loro broker o (iii) da qualsiasi persona allo sportello OTC. </w:t>
      </w:r>
      <w:r w:rsidRPr="000B5034">
        <w:rPr>
          <w:rFonts w:ascii="Times New Roman" w:eastAsia="MS Mincho" w:hAnsi="Times New Roman" w:cs="Times New Roman"/>
          <w:kern w:val="0"/>
          <w:sz w:val="20"/>
          <w:szCs w:val="20"/>
          <w:lang w:val="en-GB" w:bidi="ar-SA"/>
          <w14:ligatures w14:val="none"/>
        </w:rPr>
        <w:t xml:space="preserve">In relazione a ciò, </w:t>
      </w:r>
      <w:r w:rsidRPr="00D33490">
        <w:rPr>
          <w:rFonts w:ascii="Times New Roman" w:eastAsia="MS Mincho" w:hAnsi="Times New Roman" w:cs="Times New Roman"/>
          <w:kern w:val="0"/>
          <w:sz w:val="20"/>
          <w:szCs w:val="20"/>
          <w:lang w:val="en-GB" w:bidi="ar-SA"/>
          <w14:ligatures w14:val="none"/>
        </w:rPr>
        <w:t>Flow Traders B.V., Jane Street Financial Limited, e Goldenberg Hehmeyer LLP sono state nominate come Partecipanti Autorizzati.</w:t>
      </w:r>
      <w:r w:rsidRPr="000B5034">
        <w:rPr>
          <w:rFonts w:ascii="Times New Roman" w:eastAsia="MS Mincho" w:hAnsi="Times New Roman" w:cs="Times New Roman"/>
          <w:kern w:val="0"/>
          <w:sz w:val="20"/>
          <w:szCs w:val="20"/>
          <w:lang w:val="en-GB" w:bidi="ar-SA"/>
          <w14:ligatures w14:val="none"/>
        </w:rPr>
        <w:t xml:space="preserve"> </w:t>
      </w:r>
      <w:r w:rsidRPr="000B5034">
        <w:rPr>
          <w:rFonts w:ascii="Times New Roman" w:eastAsia="MS Mincho" w:hAnsi="Times New Roman" w:cs="Times New Roman"/>
          <w:kern w:val="0"/>
          <w:sz w:val="20"/>
          <w:szCs w:val="20"/>
          <w:lang w:val="es-ES" w:bidi="ar-SA"/>
          <w14:ligatures w14:val="none"/>
        </w:rPr>
        <w:t xml:space="preserve">Il periodo di offerta è previsto per iniziare il </w:t>
      </w:r>
      <w:r w:rsidR="00B011AF" w:rsidRPr="000B5034">
        <w:rPr>
          <w:rFonts w:ascii="Times New Roman" w:eastAsia="MS Mincho" w:hAnsi="Times New Roman" w:cs="Times New Roman"/>
          <w:kern w:val="0"/>
          <w:sz w:val="20"/>
          <w:szCs w:val="20"/>
          <w:lang w:val="es-ES" w:bidi="ar-SA"/>
          <w14:ligatures w14:val="none"/>
        </w:rPr>
        <w:t>24</w:t>
      </w:r>
      <w:r w:rsidRPr="000B5034">
        <w:rPr>
          <w:rFonts w:ascii="Times New Roman" w:eastAsia="MS Mincho" w:hAnsi="Times New Roman" w:cs="Times New Roman"/>
          <w:kern w:val="0"/>
          <w:sz w:val="20"/>
          <w:szCs w:val="20"/>
          <w:lang w:val="es-ES" w:bidi="ar-SA"/>
          <w14:ligatures w14:val="none"/>
        </w:rPr>
        <w:t xml:space="preserve"> gennaio 2024 e sarà aperto fino alla data successiva tra (i) la data di scadenza del Prospetto di Base e (ii) la scadenza della validità di un nuovo Prospetto di Base immediatamente successivo al Prospetto di Base, subordinatamente alla riduzione del periodo. L'offerta al pubblico può essere effettuata nei paesi specificati al punto "</w:t>
      </w:r>
      <w:r w:rsidRPr="000B5034">
        <w:rPr>
          <w:rFonts w:ascii="Times New Roman" w:eastAsia="MS Mincho" w:hAnsi="Times New Roman" w:cs="Times New Roman"/>
          <w:i/>
          <w:iCs/>
          <w:kern w:val="0"/>
          <w:sz w:val="20"/>
          <w:szCs w:val="20"/>
          <w:lang w:val="es-ES" w:bidi="ar-SA"/>
          <w14:ligatures w14:val="none"/>
        </w:rPr>
        <w:t>1.1 Introduzione e avvertenze</w:t>
      </w:r>
      <w:r w:rsidRPr="000B5034">
        <w:rPr>
          <w:rFonts w:ascii="Times New Roman" w:eastAsia="MS Mincho" w:hAnsi="Times New Roman" w:cs="Times New Roman"/>
          <w:kern w:val="0"/>
          <w:sz w:val="20"/>
          <w:szCs w:val="20"/>
          <w:lang w:val="es-ES" w:bidi="ar-SA"/>
          <w14:ligatures w14:val="none"/>
        </w:rPr>
        <w:t xml:space="preserve">", fatte salve le restrizioni di vendita applicabili. </w:t>
      </w:r>
      <w:r w:rsidRPr="00D33490">
        <w:rPr>
          <w:rFonts w:ascii="Times New Roman" w:eastAsia="MS Mincho" w:hAnsi="Times New Roman" w:cs="Times New Roman"/>
          <w:kern w:val="0"/>
          <w:sz w:val="20"/>
          <w:szCs w:val="20"/>
          <w:lang w:val="fr-FR" w:bidi="ar-SA"/>
          <w14:ligatures w14:val="none"/>
        </w:rPr>
        <w:t>DRW Europe B.V. è stata nominata anche Partecipante Autorizzato ai sensi del Prospetto di Base, ma non affronterà né offrirà le Obbligazioni agli investitori. DRW sottoscriverà e riscatterà le Obbligazioni solo per i propri scopi.</w:t>
      </w:r>
    </w:p>
    <w:p w14:paraId="7C6403A3" w14:textId="77777777" w:rsidR="000F7A8F" w:rsidRPr="000B5034" w:rsidRDefault="000F7A8F" w:rsidP="004E5109">
      <w:pPr>
        <w:keepNext/>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Condizioni e dettagli tecnici dell’Offerta:</w:t>
      </w:r>
      <w:r w:rsidRPr="000B5034">
        <w:rPr>
          <w:rFonts w:ascii="Times New Roman" w:eastAsia="MS Mincho" w:hAnsi="Times New Roman" w:cs="Times New Roman"/>
          <w:kern w:val="0"/>
          <w:sz w:val="20"/>
          <w:szCs w:val="20"/>
          <w:lang w:val="es-ES" w:bidi="ar-SA"/>
          <w14:ligatures w14:val="none"/>
        </w:rPr>
        <w:t xml:space="preserve"> L'offerta non è soggetta ad alcuna condizione o limite temporale diverso da quello risultante dalla validità del Prospetto come specificato al punto "Offerta al Pubblico". Non vi è alcuna possibilità di ridurre le sottoscrizioni. Non sono stati specificati importi minimi o massimi di sottoscrizione, tuttavia gli intermediari finanziari (inclusi i Partecipanti Autorizzati) che offrono i Bond possono determinare gli importi minimi o massimi di sottoscrizione quando offrono i Bond a loro sola ed assoluta discrezione.</w:t>
      </w:r>
    </w:p>
    <w:p w14:paraId="23EC6DA4" w14:textId="77777777" w:rsidR="000F7A8F" w:rsidRPr="000B5034" w:rsidRDefault="000F7A8F" w:rsidP="004E5109">
      <w:pPr>
        <w:keepNext/>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kern w:val="0"/>
          <w:sz w:val="20"/>
          <w:szCs w:val="20"/>
          <w:lang w:val="fr-FR" w:bidi="ar-SA"/>
          <w14:ligatures w14:val="none"/>
        </w:rPr>
        <w:t xml:space="preserve">I Bond possono essere acquistati sul mercato primario sia con Criptovaluta, Euro, USD o qualsiasi altra valuta fiat o criptovaluta come sarà determinato da ogni intermediario finanziario che offre i Bond. Tuttavia, i Bond acquistati direttamente dall'Emittente nel mercato primario possono essere acquistati solo con Criptovaluta e solo dai Partecipanti Autorizzati. </w:t>
      </w:r>
      <w:r w:rsidRPr="000B5034">
        <w:rPr>
          <w:rFonts w:ascii="Times New Roman" w:eastAsia="MS Mincho" w:hAnsi="Times New Roman" w:cs="Times New Roman"/>
          <w:kern w:val="0"/>
          <w:sz w:val="20"/>
          <w:szCs w:val="20"/>
          <w:lang w:val="es-ES" w:bidi="ar-SA"/>
          <w14:ligatures w14:val="none"/>
        </w:rPr>
        <w:t>I Bond saranno consegnati su conto titoli tramite il sistema di compensazione e le proprie banche depositarie dei conti.</w:t>
      </w:r>
    </w:p>
    <w:p w14:paraId="4036F5EF" w14:textId="0C92E603" w:rsidR="000F7A8F" w:rsidRPr="000B5034" w:rsidRDefault="000F7A8F" w:rsidP="004E5109">
      <w:pPr>
        <w:keepNext/>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b/>
          <w:bCs/>
          <w:i/>
          <w:iCs/>
          <w:kern w:val="0"/>
          <w:sz w:val="20"/>
          <w:szCs w:val="20"/>
          <w:lang w:val="es-ES" w:bidi="ar-SA"/>
          <w14:ligatures w14:val="none"/>
        </w:rPr>
        <w:t>Metodo di determinazione del Prezzo di Emissione</w:t>
      </w:r>
      <w:r w:rsidRPr="000B5034">
        <w:rPr>
          <w:rFonts w:ascii="Times New Roman" w:eastAsia="MS Mincho" w:hAnsi="Times New Roman" w:cs="Times New Roman"/>
          <w:kern w:val="0"/>
          <w:sz w:val="20"/>
          <w:szCs w:val="20"/>
          <w:lang w:val="es-ES" w:bidi="ar-SA"/>
          <w14:ligatures w14:val="none"/>
        </w:rPr>
        <w:t>: il prezzo di emissione per</w:t>
      </w:r>
      <w:r w:rsidR="00C4210B" w:rsidRPr="000B5034">
        <w:rPr>
          <w:rFonts w:ascii="Times New Roman" w:eastAsia="MS Mincho" w:hAnsi="Times New Roman" w:cs="Times New Roman"/>
          <w:kern w:val="0"/>
          <w:sz w:val="20"/>
          <w:szCs w:val="20"/>
          <w:lang w:val="es-ES" w:bidi="ar-SA"/>
          <w14:ligatures w14:val="none"/>
        </w:rPr>
        <w:t xml:space="preserve"> </w:t>
      </w:r>
      <w:r w:rsidRPr="000B5034">
        <w:rPr>
          <w:rFonts w:ascii="Times New Roman" w:eastAsia="MS Mincho" w:hAnsi="Times New Roman" w:cs="Times New Roman"/>
          <w:kern w:val="0"/>
          <w:sz w:val="20"/>
          <w:szCs w:val="20"/>
          <w:lang w:val="es-ES" w:bidi="ar-SA"/>
          <w14:ligatures w14:val="none"/>
        </w:rPr>
        <w:t xml:space="preserve">i Partecipanti Autorizzati corrisponde alla somma dei singoli "Diritti di Criptovaluta Individuali" in relazione a ogni particolare Criptovaluta </w:t>
      </w:r>
      <w:r w:rsidRPr="000B5034">
        <w:rPr>
          <w:rFonts w:ascii="Times New Roman" w:eastAsia="MS Mincho" w:hAnsi="Times New Roman" w:cs="Times New Roman"/>
          <w:kern w:val="0"/>
          <w:sz w:val="20"/>
          <w:szCs w:val="20"/>
          <w:lang w:val="es-ES" w:bidi="ar-SA"/>
          <w14:ligatures w14:val="none"/>
        </w:rPr>
        <w:lastRenderedPageBreak/>
        <w:t xml:space="preserve">che compone il paniere per Bond più una commissione di sottoscrizione. Il Diritto di Criptovaluta Individuale, se il giorno rilevante ("t" giorni dopo la Data di Emissione) </w:t>
      </w:r>
      <w:r w:rsidRPr="000B5034">
        <w:rPr>
          <w:rFonts w:ascii="Times New Roman" w:eastAsia="MS Mincho" w:hAnsi="Times New Roman" w:cs="Times New Roman"/>
          <w:kern w:val="0"/>
          <w:sz w:val="20"/>
          <w:szCs w:val="20"/>
          <w:u w:val="single"/>
          <w:lang w:val="es-ES" w:bidi="ar-SA"/>
          <w14:ligatures w14:val="none"/>
        </w:rPr>
        <w:t>non</w:t>
      </w:r>
      <w:r w:rsidRPr="000B5034">
        <w:rPr>
          <w:rFonts w:ascii="Times New Roman" w:eastAsia="MS Mincho" w:hAnsi="Times New Roman" w:cs="Times New Roman"/>
          <w:kern w:val="0"/>
          <w:sz w:val="20"/>
          <w:szCs w:val="20"/>
          <w:lang w:val="es-ES" w:bidi="ar-SA"/>
          <w14:ligatures w14:val="none"/>
        </w:rPr>
        <w:t xml:space="preserve"> è un Giorno di Ribilanciamento o </w:t>
      </w:r>
      <w:r w:rsidRPr="000B5034">
        <w:rPr>
          <w:rFonts w:ascii="Times New Roman" w:eastAsia="MS Mincho" w:hAnsi="Times New Roman" w:cs="Times New Roman"/>
          <w:kern w:val="0"/>
          <w:sz w:val="20"/>
          <w:szCs w:val="20"/>
          <w:u w:val="single"/>
          <w:lang w:val="es-ES" w:bidi="ar-SA"/>
          <w14:ligatures w14:val="none"/>
        </w:rPr>
        <w:t>non</w:t>
      </w:r>
      <w:r w:rsidRPr="000B5034">
        <w:rPr>
          <w:rFonts w:ascii="Times New Roman" w:eastAsia="MS Mincho" w:hAnsi="Times New Roman" w:cs="Times New Roman"/>
          <w:kern w:val="0"/>
          <w:sz w:val="20"/>
          <w:szCs w:val="20"/>
          <w:lang w:val="es-ES" w:bidi="ar-SA"/>
          <w14:ligatures w14:val="none"/>
        </w:rPr>
        <w:t xml:space="preserve"> è il giorno immediatamente successivo al Giorno di Ribilanciamento, sarà determinato secondo la seguente formula:</w:t>
      </w:r>
    </w:p>
    <w:p w14:paraId="02DBC487" w14:textId="77777777" w:rsidR="000F7A8F" w:rsidRPr="000B5034" w:rsidRDefault="000F7A8F" w:rsidP="004E5109">
      <w:pPr>
        <w:keepNext/>
        <w:spacing w:after="60" w:line="240" w:lineRule="auto"/>
        <w:jc w:val="both"/>
        <w:rPr>
          <w:rFonts w:ascii="Times New Roman" w:eastAsia="MS Mincho" w:hAnsi="Times New Roman" w:cs="Times New Roman"/>
          <w:kern w:val="0"/>
          <w:sz w:val="20"/>
          <w:szCs w:val="20"/>
          <w:lang w:val="es-ES" w:bidi="ar-SA"/>
          <w14:ligatures w14:val="none"/>
        </w:rPr>
      </w:pPr>
    </w:p>
    <w:p w14:paraId="77D867E3" w14:textId="33A9D962" w:rsidR="00815EB2" w:rsidRPr="000B5034" w:rsidRDefault="00000000" w:rsidP="004E5109">
      <w:pPr>
        <w:spacing w:after="60"/>
        <w:ind w:left="1418"/>
        <w:jc w:val="center"/>
        <w:rPr>
          <w:rFonts w:ascii="Calibri" w:eastAsia="Calibri" w:hAnsi="Calibri" w:cs="Calibri"/>
          <w:kern w:val="0"/>
          <w:lang w:bidi="ar-SA"/>
          <w14:ligatures w14:val="none"/>
        </w:rPr>
      </w:pPr>
      <m:oMathPara>
        <m:oMath>
          <m:sSub>
            <m:sSubPr>
              <m:ctrlPr>
                <w:rPr>
                  <w:rFonts w:ascii="Cambria Math" w:eastAsia="MS PGothic" w:hAnsi="Cambria Math" w:cs="Calibri"/>
                  <w:kern w:val="0"/>
                  <w:lang w:val="en-US" w:bidi="ar-SA"/>
                  <w14:ligatures w14:val="none"/>
                </w:rPr>
              </m:ctrlPr>
            </m:sSubPr>
            <m:e>
              <m:r>
                <w:rPr>
                  <w:rFonts w:ascii="Cambria Math" w:eastAsia="Calibri" w:hAnsi="Cambria Math" w:cs="Arial"/>
                  <w:kern w:val="0"/>
                  <w:lang w:bidi="ar-SA"/>
                  <w14:ligatures w14:val="none"/>
                </w:rPr>
                <m:t>SCE</m:t>
              </m:r>
            </m:e>
            <m:sub>
              <m:r>
                <w:rPr>
                  <w:rFonts w:ascii="Cambria Math" w:eastAsia="Calibri" w:hAnsi="Cambria Math" w:cs="Arial"/>
                  <w:kern w:val="0"/>
                  <w:lang w:bidi="ar-SA"/>
                  <w14:ligatures w14:val="none"/>
                </w:rPr>
                <m:t>(t)</m:t>
              </m:r>
            </m:sub>
          </m:sSub>
          <m:r>
            <w:rPr>
              <w:rFonts w:ascii="Cambria Math" w:eastAsia="Calibri" w:hAnsi="Cambria Math" w:cs="Arial"/>
              <w:kern w:val="0"/>
              <w:lang w:bidi="ar-SA"/>
              <w14:ligatures w14:val="none"/>
            </w:rPr>
            <m:t>=</m:t>
          </m:r>
          <m:sSubSup>
            <m:sSubSupPr>
              <m:ctrlPr>
                <w:rPr>
                  <w:rFonts w:ascii="Cambria Math" w:eastAsia="MS PGothic" w:hAnsi="Cambria Math" w:cs="Calibri"/>
                  <w:i/>
                  <w:iCs/>
                  <w:kern w:val="0"/>
                  <w:lang w:val="en-US" w:bidi="ar-SA"/>
                  <w14:ligatures w14:val="none"/>
                </w:rPr>
              </m:ctrlPr>
            </m:sSubSupPr>
            <m:e>
              <m:r>
                <w:rPr>
                  <w:rFonts w:ascii="Cambria Math" w:eastAsia="Calibri" w:hAnsi="Cambria Math" w:cs="Arial"/>
                  <w:kern w:val="0"/>
                  <w:lang w:bidi="ar-SA"/>
                  <w14:ligatures w14:val="none"/>
                </w:rPr>
                <m:t>SCE</m:t>
              </m:r>
            </m:e>
            <m:sub>
              <m:d>
                <m:dPr>
                  <m:ctrlPr>
                    <w:rPr>
                      <w:rFonts w:ascii="Cambria Math" w:eastAsia="MS PGothic" w:hAnsi="Cambria Math" w:cs="Calibri"/>
                      <w:i/>
                      <w:iCs/>
                      <w:kern w:val="0"/>
                      <w:lang w:val="en-US" w:bidi="ar-SA"/>
                      <w14:ligatures w14:val="none"/>
                    </w:rPr>
                  </m:ctrlPr>
                </m:dPr>
                <m:e>
                  <m:r>
                    <w:rPr>
                      <w:rFonts w:ascii="Cambria Math" w:eastAsia="Calibri" w:hAnsi="Cambria Math" w:cs="Arial"/>
                      <w:kern w:val="0"/>
                      <w:lang w:bidi="ar-SA"/>
                      <w14:ligatures w14:val="none"/>
                    </w:rPr>
                    <m:t>t-1</m:t>
                  </m:r>
                </m:e>
              </m:d>
            </m:sub>
            <m:sup>
              <m:r>
                <w:rPr>
                  <w:rFonts w:ascii="Cambria Math" w:eastAsia="Calibri" w:hAnsi="Cambria Math" w:cs="Arial"/>
                  <w:kern w:val="0"/>
                  <w:lang w:bidi="ar-SA"/>
                  <w14:ligatures w14:val="none"/>
                </w:rPr>
                <m:t>i</m:t>
              </m:r>
            </m:sup>
          </m:sSubSup>
          <m:r>
            <w:rPr>
              <w:rFonts w:ascii="Cambria Math" w:eastAsia="Calibri" w:hAnsi="Cambria Math" w:cs="Arial"/>
              <w:kern w:val="0"/>
              <w:lang w:bidi="ar-SA"/>
              <w14:ligatures w14:val="none"/>
            </w:rPr>
            <m:t>*</m:t>
          </m:r>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 xml:space="preserve">1- </m:t>
              </m:r>
              <m:f>
                <m:fPr>
                  <m:ctrlPr>
                    <w:rPr>
                      <w:rFonts w:ascii="Cambria Math" w:eastAsia="MS PGothic" w:hAnsi="Cambria Math" w:cs="Calibri"/>
                      <w:kern w:val="0"/>
                      <w:lang w:val="en-US" w:bidi="ar-SA"/>
                      <w14:ligatures w14:val="none"/>
                    </w:rPr>
                  </m:ctrlPr>
                </m:fPr>
                <m:num>
                  <m:r>
                    <w:rPr>
                      <w:rFonts w:ascii="Cambria Math" w:eastAsia="Calibri" w:hAnsi="Cambria Math" w:cs="Arial"/>
                      <w:kern w:val="0"/>
                      <w:lang w:bidi="ar-SA"/>
                      <w14:ligatures w14:val="none"/>
                    </w:rPr>
                    <m:t>DER</m:t>
                  </m:r>
                </m:num>
                <m:den>
                  <m:r>
                    <w:rPr>
                      <w:rFonts w:ascii="Cambria Math" w:eastAsia="Calibri" w:hAnsi="Cambria Math" w:cs="Arial"/>
                      <w:kern w:val="0"/>
                      <w:lang w:bidi="ar-SA"/>
                      <w14:ligatures w14:val="none"/>
                    </w:rPr>
                    <m:t>365</m:t>
                  </m:r>
                </m:den>
              </m:f>
            </m:e>
          </m:d>
          <m:r>
            <w:rPr>
              <w:rFonts w:ascii="Cambria Math" w:eastAsia="Calibri" w:hAnsi="Cambria Math" w:cs="Arial"/>
              <w:kern w:val="0"/>
              <w:lang w:bidi="ar-SA"/>
              <w14:ligatures w14:val="none"/>
            </w:rPr>
            <m:t>+</m:t>
          </m:r>
          <m:f>
            <m:fPr>
              <m:ctrlPr>
                <w:rPr>
                  <w:rFonts w:ascii="Cambria Math" w:eastAsia="MS PGothic" w:hAnsi="Cambria Math" w:cs="Calibri"/>
                  <w:kern w:val="0"/>
                  <w:lang w:val="en-US" w:bidi="ar-SA"/>
                  <w14:ligatures w14:val="none"/>
                </w:rPr>
              </m:ctrlPr>
            </m:fPr>
            <m:num>
              <m:sSub>
                <m:sSubPr>
                  <m:ctrlPr>
                    <w:rPr>
                      <w:rFonts w:ascii="Cambria Math" w:eastAsia="MS PGothic" w:hAnsi="Cambria Math" w:cs="Calibri"/>
                      <w:kern w:val="0"/>
                      <w:lang w:val="en-US" w:bidi="ar-SA"/>
                      <w14:ligatures w14:val="none"/>
                    </w:rPr>
                  </m:ctrlPr>
                </m:sSubPr>
                <m:e>
                  <m:r>
                    <w:rPr>
                      <w:rFonts w:ascii="Cambria Math" w:eastAsia="Calibri" w:hAnsi="Cambria Math" w:cs="Arial"/>
                      <w:kern w:val="0"/>
                      <w:lang w:bidi="ar-SA"/>
                      <w14:ligatures w14:val="none"/>
                    </w:rPr>
                    <m:t>SSR</m:t>
                  </m:r>
                </m:e>
                <m:sub>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t-2</m:t>
                      </m:r>
                    </m:e>
                  </m:d>
                </m:sub>
              </m:sSub>
            </m:num>
            <m:den>
              <m:sSub>
                <m:sSubPr>
                  <m:ctrlPr>
                    <w:rPr>
                      <w:rFonts w:ascii="Cambria Math" w:eastAsia="MS PGothic" w:hAnsi="Cambria Math" w:cs="Calibri"/>
                      <w:kern w:val="0"/>
                      <w:lang w:val="en-US" w:bidi="ar-SA"/>
                      <w14:ligatures w14:val="none"/>
                    </w:rPr>
                  </m:ctrlPr>
                </m:sSubPr>
                <m:e>
                  <m:r>
                    <w:rPr>
                      <w:rFonts w:ascii="Cambria Math" w:eastAsia="Calibri" w:hAnsi="Cambria Math" w:cs="Arial"/>
                      <w:kern w:val="0"/>
                      <w:lang w:bidi="ar-SA"/>
                      <w14:ligatures w14:val="none"/>
                    </w:rPr>
                    <m:t>N</m:t>
                  </m:r>
                </m:e>
                <m:sub>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t-1</m:t>
                      </m:r>
                    </m:e>
                  </m:d>
                </m:sub>
              </m:sSub>
            </m:den>
          </m:f>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1-</m:t>
              </m:r>
              <m:sSubSup>
                <m:sSubSupPr>
                  <m:ctrlPr>
                    <w:rPr>
                      <w:rFonts w:ascii="Cambria Math" w:eastAsia="MS PGothic" w:hAnsi="Cambria Math" w:cs="Calibri"/>
                      <w:b/>
                      <w:bCs/>
                      <w:i/>
                      <w:iCs/>
                      <w:kern w:val="0"/>
                      <w:lang w:val="en-US" w:bidi="ar-SA"/>
                      <w14:ligatures w14:val="none"/>
                    </w:rPr>
                  </m:ctrlPr>
                </m:sSubSupPr>
                <m:e>
                  <m:r>
                    <m:rPr>
                      <m:sty m:val="bi"/>
                    </m:rPr>
                    <w:rPr>
                      <w:rFonts w:ascii="Cambria Math" w:eastAsia="Calibri" w:hAnsi="Cambria Math" w:cs="Arial"/>
                      <w:kern w:val="0"/>
                      <w:lang w:bidi="ar-SA"/>
                      <w14:ligatures w14:val="none"/>
                    </w:rPr>
                    <m:t>DSC</m:t>
                  </m:r>
                </m:e>
                <m:sub>
                  <m:r>
                    <m:rPr>
                      <m:sty m:val="bi"/>
                    </m:rPr>
                    <w:rPr>
                      <w:rFonts w:ascii="Cambria Math" w:eastAsia="Calibri" w:hAnsi="Cambria Math" w:cs="Arial"/>
                      <w:kern w:val="0"/>
                      <w:lang w:bidi="ar-SA"/>
                      <w14:ligatures w14:val="none"/>
                    </w:rPr>
                    <m:t>(t)</m:t>
                  </m:r>
                </m:sub>
                <m:sup>
                  <m:r>
                    <m:rPr>
                      <m:sty m:val="bi"/>
                    </m:rPr>
                    <w:rPr>
                      <w:rFonts w:ascii="Cambria Math" w:eastAsia="Calibri" w:hAnsi="Cambria Math" w:cs="Arial"/>
                      <w:kern w:val="0"/>
                      <w:lang w:bidi="ar-SA"/>
                      <w14:ligatures w14:val="none"/>
                    </w:rPr>
                    <m:t>i</m:t>
                  </m:r>
                </m:sup>
              </m:sSubSup>
            </m:e>
          </m:d>
        </m:oMath>
      </m:oMathPara>
    </w:p>
    <w:p w14:paraId="4416572A" w14:textId="5D5EC2EE" w:rsidR="00815EB2" w:rsidRPr="000B5034" w:rsidRDefault="00347997" w:rsidP="004E5109">
      <w:pPr>
        <w:spacing w:after="60" w:line="240" w:lineRule="auto"/>
        <w:jc w:val="both"/>
        <w:rPr>
          <w:rFonts w:ascii="Times New Roman" w:eastAsia="Calibri" w:hAnsi="Times New Roman" w:cs="Times New Roman"/>
          <w:kern w:val="0"/>
          <w:sz w:val="20"/>
          <w:szCs w:val="20"/>
          <w:lang w:val="es-ES" w:eastAsia="en-GB" w:bidi="ar-SA"/>
          <w14:ligatures w14:val="none"/>
        </w:rPr>
      </w:pPr>
      <w:r w:rsidRPr="000B5034">
        <w:rPr>
          <w:rFonts w:ascii="Times New Roman" w:eastAsia="Calibri" w:hAnsi="Times New Roman" w:cs="Times New Roman"/>
          <w:kern w:val="0"/>
          <w:sz w:val="20"/>
          <w:szCs w:val="20"/>
          <w:lang w:val="es-ES" w:eastAsia="en-GB" w:bidi="ar-SA"/>
          <w14:ligatures w14:val="none"/>
        </w:rPr>
        <w:t>Laddove</w:t>
      </w:r>
      <w:r w:rsidR="00815EB2" w:rsidRPr="000B5034">
        <w:rPr>
          <w:rFonts w:ascii="Times New Roman" w:eastAsia="Calibri" w:hAnsi="Times New Roman" w:cs="Times New Roman"/>
          <w:kern w:val="0"/>
          <w:sz w:val="20"/>
          <w:szCs w:val="20"/>
          <w:lang w:val="es-ES" w:eastAsia="en-GB" w:bidi="ar-SA"/>
          <w14:ligatures w14:val="none"/>
        </w:rPr>
        <w:t>:</w:t>
      </w:r>
    </w:p>
    <w:p w14:paraId="281ACF16" w14:textId="5DFCCF5F" w:rsidR="00815EB2" w:rsidRPr="000B5034" w:rsidRDefault="00815EB2" w:rsidP="004E5109">
      <w:pPr>
        <w:spacing w:after="60" w:line="240" w:lineRule="auto"/>
        <w:jc w:val="both"/>
        <w:rPr>
          <w:rFonts w:ascii="Times New Roman" w:eastAsia="Calibri" w:hAnsi="Times New Roman" w:cs="Times New Roman"/>
          <w:kern w:val="0"/>
          <w:sz w:val="20"/>
          <w:szCs w:val="20"/>
          <w:lang w:val="es-ES" w:eastAsia="en-GB" w:bidi="ar-SA"/>
          <w14:ligatures w14:val="none"/>
        </w:rPr>
      </w:pPr>
    </w:p>
    <w:p w14:paraId="09518FA4" w14:textId="519643C0" w:rsidR="00815EB2" w:rsidRPr="000B5034" w:rsidRDefault="00815EB2" w:rsidP="004E5109">
      <w:pPr>
        <w:spacing w:after="60" w:line="240" w:lineRule="auto"/>
        <w:jc w:val="both"/>
        <w:rPr>
          <w:rFonts w:ascii="Times New Roman" w:eastAsia="Calibri" w:hAnsi="Times New Roman" w:cs="Times New Roman"/>
          <w:kern w:val="0"/>
          <w:sz w:val="20"/>
          <w:szCs w:val="20"/>
          <w:lang w:val="es-ES" w:eastAsia="en-GB" w:bidi="ar-SA"/>
          <w14:ligatures w14:val="none"/>
        </w:rPr>
      </w:pPr>
      <w:r w:rsidRPr="000B5034">
        <w:rPr>
          <w:rFonts w:ascii="Times New Roman" w:eastAsia="Calibri" w:hAnsi="Times New Roman" w:cs="Times New Roman"/>
          <w:kern w:val="0"/>
          <w:sz w:val="20"/>
          <w:szCs w:val="20"/>
          <w:lang w:val="es-ES" w:eastAsia="en-GB" w:bidi="ar-SA"/>
          <w14:ligatures w14:val="none"/>
        </w:rPr>
        <w:t>"</w:t>
      </w:r>
      <m:oMath>
        <m:sSubSup>
          <m:sSubSupPr>
            <m:ctrlPr>
              <w:rPr>
                <w:rFonts w:ascii="Cambria Math" w:eastAsia="Calibri" w:hAnsi="Cambria Math" w:cs="Times New Roman"/>
                <w:b/>
                <w:bCs/>
                <w:i/>
                <w:iCs/>
                <w:kern w:val="0"/>
                <w:sz w:val="20"/>
                <w:szCs w:val="20"/>
                <w:lang w:val="en-GB" w:eastAsia="en-GB" w:bidi="ar-SA"/>
                <w14:ligatures w14:val="none"/>
              </w:rPr>
            </m:ctrlPr>
          </m:sSubSupPr>
          <m:e>
            <m:r>
              <m:rPr>
                <m:sty m:val="bi"/>
              </m:rPr>
              <w:rPr>
                <w:rFonts w:ascii="Cambria Math" w:eastAsia="Calibri" w:hAnsi="Cambria Math" w:cs="Times New Roman"/>
                <w:kern w:val="0"/>
                <w:sz w:val="20"/>
                <w:szCs w:val="20"/>
                <w:lang w:val="en-GB" w:eastAsia="en-GB" w:bidi="ar-SA"/>
                <w14:ligatures w14:val="none"/>
              </w:rPr>
              <m:t>SCE</m:t>
            </m:r>
          </m:e>
          <m:sub>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es-ES" w:eastAsia="en-GB" w:bidi="ar-SA"/>
                <w14:ligatures w14:val="none"/>
              </w:rPr>
              <m:t>)</m:t>
            </m:r>
          </m:sub>
          <m:sup>
            <m:r>
              <m:rPr>
                <m:sty m:val="bi"/>
              </m:rPr>
              <w:rPr>
                <w:rFonts w:ascii="Cambria Math" w:eastAsia="Calibri" w:hAnsi="Cambria Math" w:cs="Times New Roman"/>
                <w:kern w:val="0"/>
                <w:sz w:val="20"/>
                <w:szCs w:val="20"/>
                <w:lang w:val="en-GB" w:eastAsia="en-GB" w:bidi="ar-SA"/>
                <w14:ligatures w14:val="none"/>
              </w:rPr>
              <m:t>i</m:t>
            </m:r>
          </m:sup>
        </m:sSubSup>
      </m:oMath>
      <w:r w:rsidRPr="000B5034">
        <w:rPr>
          <w:rFonts w:ascii="Times New Roman" w:eastAsia="Calibri" w:hAnsi="Times New Roman" w:cs="Times New Roman"/>
          <w:kern w:val="0"/>
          <w:sz w:val="20"/>
          <w:szCs w:val="20"/>
          <w:lang w:val="es-ES" w:eastAsia="en-GB" w:bidi="ar-SA"/>
          <w14:ligatures w14:val="none"/>
        </w:rPr>
        <w:t xml:space="preserve">" </w:t>
      </w:r>
      <w:r w:rsidR="00750638" w:rsidRPr="000B5034">
        <w:rPr>
          <w:rFonts w:ascii="Times New Roman" w:eastAsia="Calibri" w:hAnsi="Times New Roman" w:cs="Times New Roman"/>
          <w:kern w:val="0"/>
          <w:sz w:val="20"/>
          <w:szCs w:val="20"/>
          <w:lang w:val="es-ES" w:eastAsia="en-GB" w:bidi="ar-SA"/>
          <w14:ligatures w14:val="none"/>
        </w:rPr>
        <w:t>significa</w:t>
      </w:r>
      <w:r w:rsidR="00347997" w:rsidRPr="000B5034">
        <w:rPr>
          <w:rFonts w:ascii="Times New Roman" w:eastAsia="Calibri" w:hAnsi="Times New Roman" w:cs="Times New Roman"/>
          <w:kern w:val="0"/>
          <w:sz w:val="20"/>
          <w:szCs w:val="20"/>
          <w:lang w:val="es-ES" w:eastAsia="en-GB" w:bidi="ar-SA"/>
          <w14:ligatures w14:val="none"/>
        </w:rPr>
        <w:t xml:space="preserve"> il Diritto di Criptovaluta Singolo rispetto alla particolare Criptovaluta compresa nel paniere (denominata "i") al giorno "t" giorni dopo la Data di Emissione;</w:t>
      </w:r>
    </w:p>
    <w:p w14:paraId="2E5FA044" w14:textId="77777777" w:rsidR="00347997" w:rsidRPr="000B5034" w:rsidRDefault="00347997" w:rsidP="004E5109">
      <w:pPr>
        <w:spacing w:after="60" w:line="240" w:lineRule="auto"/>
        <w:jc w:val="both"/>
        <w:rPr>
          <w:rFonts w:ascii="Times New Roman" w:eastAsia="Calibri" w:hAnsi="Times New Roman" w:cs="Times New Roman"/>
          <w:kern w:val="0"/>
          <w:sz w:val="20"/>
          <w:szCs w:val="20"/>
          <w:lang w:val="es-ES" w:eastAsia="en-GB" w:bidi="ar-SA"/>
          <w14:ligatures w14:val="none"/>
        </w:rPr>
      </w:pPr>
    </w:p>
    <w:p w14:paraId="3C347614" w14:textId="0715EA13" w:rsidR="00347997" w:rsidRPr="000B5034" w:rsidRDefault="00815EB2" w:rsidP="004E5109">
      <w:pPr>
        <w:spacing w:after="60" w:line="240" w:lineRule="auto"/>
        <w:jc w:val="both"/>
        <w:rPr>
          <w:rFonts w:ascii="Times New Roman" w:eastAsia="Calibri" w:hAnsi="Times New Roman" w:cs="Times New Roman"/>
          <w:kern w:val="0"/>
          <w:sz w:val="20"/>
          <w:szCs w:val="20"/>
          <w:lang w:val="es-ES" w:eastAsia="en-GB" w:bidi="ar-SA"/>
          <w14:ligatures w14:val="none"/>
        </w:rPr>
      </w:pPr>
      <w:r w:rsidRPr="000B5034">
        <w:rPr>
          <w:rFonts w:ascii="Times New Roman" w:eastAsia="Calibri" w:hAnsi="Times New Roman" w:cs="Times New Roman"/>
          <w:kern w:val="0"/>
          <w:sz w:val="20"/>
          <w:szCs w:val="20"/>
          <w:lang w:val="es-ES" w:eastAsia="en-GB" w:bidi="ar-SA"/>
          <w14:ligatures w14:val="none"/>
        </w:rPr>
        <w:t>"</w:t>
      </w:r>
      <w:r w:rsidRPr="000B5034">
        <w:rPr>
          <w:rFonts w:ascii="Times New Roman" w:eastAsia="Calibri" w:hAnsi="Times New Roman" w:cs="Times New Roman"/>
          <w:b/>
          <w:bCs/>
          <w:kern w:val="0"/>
          <w:sz w:val="20"/>
          <w:szCs w:val="20"/>
          <w:lang w:val="es-ES" w:eastAsia="en-GB" w:bidi="ar-SA"/>
          <w14:ligatures w14:val="none"/>
        </w:rPr>
        <w:t>t</w:t>
      </w:r>
      <w:r w:rsidRPr="000B5034">
        <w:rPr>
          <w:rFonts w:ascii="Times New Roman" w:eastAsia="Calibri" w:hAnsi="Times New Roman" w:cs="Times New Roman"/>
          <w:kern w:val="0"/>
          <w:sz w:val="20"/>
          <w:szCs w:val="20"/>
          <w:lang w:val="es-ES" w:eastAsia="en-GB" w:bidi="ar-SA"/>
          <w14:ligatures w14:val="none"/>
        </w:rPr>
        <w:t>"</w:t>
      </w:r>
      <w:r w:rsidRPr="000B5034">
        <w:rPr>
          <w:rFonts w:ascii="Times New Roman" w:eastAsia="Calibri" w:hAnsi="Times New Roman" w:cs="Times New Roman"/>
          <w:b/>
          <w:bCs/>
          <w:kern w:val="0"/>
          <w:sz w:val="20"/>
          <w:szCs w:val="20"/>
          <w:lang w:val="es-ES" w:eastAsia="en-GB" w:bidi="ar-SA"/>
          <w14:ligatures w14:val="none"/>
        </w:rPr>
        <w:t xml:space="preserve"> </w:t>
      </w:r>
      <w:r w:rsidR="00750638" w:rsidRPr="000B5034">
        <w:rPr>
          <w:rFonts w:ascii="Times New Roman" w:eastAsia="Calibri" w:hAnsi="Times New Roman" w:cs="Times New Roman"/>
          <w:kern w:val="0"/>
          <w:sz w:val="20"/>
          <w:szCs w:val="20"/>
          <w:lang w:val="es-ES" w:eastAsia="en-GB" w:bidi="ar-SA"/>
          <w14:ligatures w14:val="none"/>
        </w:rPr>
        <w:t>significa</w:t>
      </w:r>
      <w:r w:rsidR="00347997" w:rsidRPr="000B5034">
        <w:rPr>
          <w:rFonts w:ascii="Times New Roman" w:eastAsia="Calibri" w:hAnsi="Times New Roman" w:cs="Times New Roman"/>
          <w:kern w:val="0"/>
          <w:sz w:val="20"/>
          <w:szCs w:val="20"/>
          <w:lang w:val="es-ES" w:eastAsia="en-GB" w:bidi="ar-SA"/>
          <w14:ligatures w14:val="none"/>
        </w:rPr>
        <w:t xml:space="preserve"> il numero di giorni di calendario trascorsi dalla Data di Emissione;</w:t>
      </w:r>
    </w:p>
    <w:p w14:paraId="19080624" w14:textId="77777777" w:rsidR="00347997" w:rsidRPr="000B5034" w:rsidRDefault="00347997" w:rsidP="004E5109">
      <w:pPr>
        <w:spacing w:after="60" w:line="240" w:lineRule="auto"/>
        <w:jc w:val="both"/>
        <w:rPr>
          <w:rFonts w:ascii="Times New Roman" w:eastAsia="Calibri" w:hAnsi="Times New Roman" w:cs="Times New Roman"/>
          <w:b/>
          <w:bCs/>
          <w:kern w:val="0"/>
          <w:sz w:val="20"/>
          <w:szCs w:val="20"/>
          <w:lang w:val="es-ES" w:eastAsia="en-GB" w:bidi="ar-SA"/>
          <w14:ligatures w14:val="none"/>
        </w:rPr>
      </w:pPr>
    </w:p>
    <w:p w14:paraId="1D146D71" w14:textId="6E132BBE" w:rsidR="00815EB2" w:rsidRPr="000B5034" w:rsidRDefault="00815EB2" w:rsidP="004E5109">
      <w:pPr>
        <w:spacing w:after="60" w:line="240" w:lineRule="auto"/>
        <w:jc w:val="both"/>
        <w:rPr>
          <w:rFonts w:ascii="Times New Roman" w:eastAsia="Calibri" w:hAnsi="Times New Roman" w:cs="Times New Roman"/>
          <w:kern w:val="0"/>
          <w:sz w:val="20"/>
          <w:szCs w:val="20"/>
          <w:lang w:val="es-ES" w:eastAsia="en-GB" w:bidi="ar-SA"/>
          <w14:ligatures w14:val="none"/>
        </w:rPr>
      </w:pPr>
      <w:r w:rsidRPr="000B5034">
        <w:rPr>
          <w:rFonts w:ascii="Times New Roman" w:eastAsia="Calibri" w:hAnsi="Times New Roman" w:cs="Times New Roman"/>
          <w:kern w:val="0"/>
          <w:sz w:val="20"/>
          <w:szCs w:val="20"/>
          <w:lang w:val="es-ES" w:eastAsia="en-GB" w:bidi="ar-SA"/>
          <w14:ligatures w14:val="none"/>
        </w:rPr>
        <w:t>"</w:t>
      </w:r>
      <m:oMath>
        <m:sSubSup>
          <m:sSubSupPr>
            <m:ctrlPr>
              <w:rPr>
                <w:rFonts w:ascii="Cambria Math" w:eastAsia="Calibri" w:hAnsi="Cambria Math" w:cs="Times New Roman"/>
                <w:b/>
                <w:bCs/>
                <w:i/>
                <w:iCs/>
                <w:kern w:val="0"/>
                <w:sz w:val="20"/>
                <w:szCs w:val="20"/>
                <w:lang w:val="en-GB" w:eastAsia="en-GB" w:bidi="ar-SA"/>
                <w14:ligatures w14:val="none"/>
              </w:rPr>
            </m:ctrlPr>
          </m:sSubSupPr>
          <m:e>
            <m:r>
              <m:rPr>
                <m:sty m:val="bi"/>
              </m:rPr>
              <w:rPr>
                <w:rFonts w:ascii="Cambria Math" w:eastAsia="Calibri" w:hAnsi="Cambria Math" w:cs="Times New Roman"/>
                <w:kern w:val="0"/>
                <w:sz w:val="20"/>
                <w:szCs w:val="20"/>
                <w:lang w:val="en-GB" w:eastAsia="en-GB" w:bidi="ar-SA"/>
                <w14:ligatures w14:val="none"/>
              </w:rPr>
              <m:t>SCE</m:t>
            </m:r>
          </m:e>
          <m:sub>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1</m:t>
            </m:r>
            <m:r>
              <m:rPr>
                <m:sty m:val="bi"/>
              </m:rPr>
              <w:rPr>
                <w:rFonts w:ascii="Cambria Math" w:eastAsia="Calibri" w:hAnsi="Cambria Math" w:cs="Times New Roman"/>
                <w:kern w:val="0"/>
                <w:sz w:val="20"/>
                <w:szCs w:val="20"/>
                <w:lang w:val="es-ES" w:eastAsia="en-GB" w:bidi="ar-SA"/>
                <w14:ligatures w14:val="none"/>
              </w:rPr>
              <m:t>)</m:t>
            </m:r>
          </m:sub>
          <m:sup>
            <m:r>
              <m:rPr>
                <m:sty m:val="bi"/>
              </m:rPr>
              <w:rPr>
                <w:rFonts w:ascii="Cambria Math" w:eastAsia="Calibri" w:hAnsi="Cambria Math" w:cs="Times New Roman"/>
                <w:kern w:val="0"/>
                <w:sz w:val="20"/>
                <w:szCs w:val="20"/>
                <w:lang w:val="en-GB" w:eastAsia="en-GB" w:bidi="ar-SA"/>
                <w14:ligatures w14:val="none"/>
              </w:rPr>
              <m:t>i</m:t>
            </m:r>
          </m:sup>
        </m:sSubSup>
      </m:oMath>
      <w:r w:rsidRPr="000B5034">
        <w:rPr>
          <w:rFonts w:ascii="Times New Roman" w:eastAsia="Calibri" w:hAnsi="Times New Roman" w:cs="Times New Roman"/>
          <w:kern w:val="0"/>
          <w:sz w:val="20"/>
          <w:szCs w:val="20"/>
          <w:lang w:val="es-ES" w:eastAsia="en-GB" w:bidi="ar-SA"/>
          <w14:ligatures w14:val="none"/>
        </w:rPr>
        <w:t xml:space="preserve">" </w:t>
      </w:r>
      <w:r w:rsidR="00750638" w:rsidRPr="000B5034">
        <w:rPr>
          <w:rFonts w:ascii="Times New Roman" w:eastAsia="Calibri" w:hAnsi="Times New Roman" w:cs="Times New Roman"/>
          <w:kern w:val="0"/>
          <w:sz w:val="20"/>
          <w:szCs w:val="20"/>
          <w:lang w:val="es-ES" w:eastAsia="en-GB" w:bidi="ar-SA"/>
          <w14:ligatures w14:val="none"/>
        </w:rPr>
        <w:t>significa</w:t>
      </w:r>
      <w:r w:rsidR="00347997" w:rsidRPr="000B5034">
        <w:rPr>
          <w:rFonts w:ascii="Times New Roman" w:eastAsia="Calibri" w:hAnsi="Times New Roman" w:cs="Times New Roman"/>
          <w:kern w:val="0"/>
          <w:sz w:val="20"/>
          <w:szCs w:val="20"/>
          <w:lang w:val="es-ES" w:eastAsia="en-GB" w:bidi="ar-SA"/>
          <w14:ligatures w14:val="none"/>
        </w:rPr>
        <w:t xml:space="preserve"> il Diritto di Criptovaluta Singolo rispetto alla particolare Criptovaluta compresa nel paniere (denominata "i") nel giorno precedente al giorno "t" giorni dopo la Data di Emissione;</w:t>
      </w:r>
    </w:p>
    <w:p w14:paraId="05F5ABF2" w14:textId="77777777" w:rsidR="00347997" w:rsidRPr="000B5034" w:rsidRDefault="00347997" w:rsidP="004E5109">
      <w:pPr>
        <w:spacing w:after="60" w:line="240" w:lineRule="auto"/>
        <w:jc w:val="both"/>
        <w:rPr>
          <w:rFonts w:ascii="Times New Roman" w:eastAsia="Calibri" w:hAnsi="Times New Roman" w:cs="Times New Roman"/>
          <w:kern w:val="0"/>
          <w:sz w:val="20"/>
          <w:szCs w:val="20"/>
          <w:lang w:val="es-ES" w:eastAsia="en-GB" w:bidi="ar-SA"/>
          <w14:ligatures w14:val="none"/>
        </w:rPr>
      </w:pPr>
    </w:p>
    <w:p w14:paraId="113733B7" w14:textId="4661F10D" w:rsidR="00815EB2" w:rsidRPr="000B5034" w:rsidRDefault="00815EB2" w:rsidP="004E5109">
      <w:pPr>
        <w:spacing w:after="60" w:line="240" w:lineRule="auto"/>
        <w:jc w:val="both"/>
        <w:rPr>
          <w:rFonts w:ascii="Times New Roman" w:eastAsia="Calibri" w:hAnsi="Times New Roman" w:cs="Times New Roman"/>
          <w:kern w:val="0"/>
          <w:sz w:val="20"/>
          <w:szCs w:val="20"/>
          <w:lang w:val="es-ES" w:eastAsia="en-GB" w:bidi="ar-SA"/>
          <w14:ligatures w14:val="none"/>
        </w:rPr>
      </w:pPr>
      <w:r w:rsidRPr="000B5034">
        <w:rPr>
          <w:rFonts w:ascii="Times New Roman" w:eastAsia="Calibri" w:hAnsi="Times New Roman" w:cs="Times New Roman"/>
          <w:kern w:val="0"/>
          <w:sz w:val="20"/>
          <w:szCs w:val="20"/>
          <w:lang w:val="es-ES" w:eastAsia="en-GB" w:bidi="ar-SA"/>
          <w14:ligatures w14:val="none"/>
        </w:rPr>
        <w:t>"</w:t>
      </w:r>
      <m:oMath>
        <m:sSub>
          <m:sSubPr>
            <m:ctrlPr>
              <w:rPr>
                <w:rFonts w:ascii="Cambria Math" w:eastAsia="Calibri" w:hAnsi="Cambria Math" w:cs="Times New Roman"/>
                <w:b/>
                <w:bCs/>
                <w:kern w:val="0"/>
                <w:sz w:val="20"/>
                <w:szCs w:val="20"/>
                <w:lang w:val="en-GB" w:eastAsia="en-GB" w:bidi="ar-SA"/>
                <w14:ligatures w14:val="none"/>
              </w:rPr>
            </m:ctrlPr>
          </m:sSubPr>
          <m:e>
            <m:r>
              <m:rPr>
                <m:sty m:val="bi"/>
              </m:rPr>
              <w:rPr>
                <w:rFonts w:ascii="Cambria Math" w:eastAsia="Calibri" w:hAnsi="Cambria Math" w:cs="Times New Roman"/>
                <w:kern w:val="0"/>
                <w:sz w:val="20"/>
                <w:szCs w:val="20"/>
                <w:lang w:val="en-GB" w:eastAsia="en-GB" w:bidi="ar-SA"/>
                <w14:ligatures w14:val="none"/>
              </w:rPr>
              <m:t>SSR</m:t>
            </m:r>
          </m:e>
          <m:sub>
            <m:d>
              <m:dPr>
                <m:ctrlPr>
                  <w:rPr>
                    <w:rFonts w:ascii="Cambria Math" w:eastAsia="Calibri" w:hAnsi="Cambria Math" w:cs="Times New Roman"/>
                    <w:b/>
                    <w:bCs/>
                    <w:kern w:val="0"/>
                    <w:sz w:val="20"/>
                    <w:szCs w:val="20"/>
                    <w:lang w:val="en-GB" w:eastAsia="en-GB" w:bidi="ar-SA"/>
                    <w14:ligatures w14:val="none"/>
                  </w:rPr>
                </m:ctrlPr>
              </m:dPr>
              <m:e>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2</m:t>
                </m:r>
              </m:e>
            </m:d>
          </m:sub>
        </m:sSub>
      </m:oMath>
      <w:r w:rsidRPr="000B5034">
        <w:rPr>
          <w:rFonts w:ascii="Times New Roman" w:eastAsia="Calibri" w:hAnsi="Times New Roman" w:cs="Times New Roman"/>
          <w:kern w:val="0"/>
          <w:sz w:val="20"/>
          <w:szCs w:val="20"/>
          <w:lang w:val="es-ES" w:eastAsia="en-GB" w:bidi="ar-SA"/>
          <w14:ligatures w14:val="none"/>
        </w:rPr>
        <w:t xml:space="preserve">" </w:t>
      </w:r>
      <w:r w:rsidR="00750638" w:rsidRPr="000B5034">
        <w:rPr>
          <w:rFonts w:ascii="Times New Roman" w:eastAsia="Calibri" w:hAnsi="Times New Roman" w:cs="Times New Roman"/>
          <w:kern w:val="0"/>
          <w:sz w:val="20"/>
          <w:szCs w:val="20"/>
          <w:lang w:val="es-ES" w:eastAsia="en-GB" w:bidi="ar-SA"/>
          <w14:ligatures w14:val="none"/>
        </w:rPr>
        <w:t xml:space="preserve">significa i premi di staking singoli espressi nella rispettiva criptovaluta ricevuta (sia guadagnata che maturata) dallo staking </w:t>
      </w:r>
      <w:r w:rsidR="00D33490">
        <w:rPr>
          <w:rFonts w:ascii="Times New Roman" w:eastAsia="Calibri" w:hAnsi="Times New Roman" w:cs="Times New Roman"/>
          <w:kern w:val="0"/>
          <w:sz w:val="20"/>
          <w:szCs w:val="20"/>
          <w:lang w:val="es-ES" w:eastAsia="en-GB" w:bidi="ar-SA"/>
          <w14:ligatures w14:val="none"/>
        </w:rPr>
        <w:t>due</w:t>
      </w:r>
      <w:r w:rsidR="00750638" w:rsidRPr="000B5034">
        <w:rPr>
          <w:rFonts w:ascii="Times New Roman" w:eastAsia="Calibri" w:hAnsi="Times New Roman" w:cs="Times New Roman"/>
          <w:kern w:val="0"/>
          <w:sz w:val="20"/>
          <w:szCs w:val="20"/>
          <w:lang w:val="es-ES" w:eastAsia="en-GB" w:bidi="ar-SA"/>
          <w14:ligatures w14:val="none"/>
        </w:rPr>
        <w:t xml:space="preserve"> giorno precedente al giorno "t" giorni dopo la Data di Emissione;</w:t>
      </w:r>
    </w:p>
    <w:p w14:paraId="59255F15" w14:textId="77777777" w:rsidR="00750638" w:rsidRPr="000B5034" w:rsidRDefault="00750638" w:rsidP="004E5109">
      <w:pPr>
        <w:spacing w:after="60" w:line="240" w:lineRule="auto"/>
        <w:jc w:val="both"/>
        <w:rPr>
          <w:rFonts w:ascii="Times New Roman" w:eastAsia="Calibri" w:hAnsi="Times New Roman" w:cs="Times New Roman"/>
          <w:kern w:val="0"/>
          <w:sz w:val="20"/>
          <w:szCs w:val="20"/>
          <w:lang w:val="es-ES" w:eastAsia="en-GB" w:bidi="ar-SA"/>
          <w14:ligatures w14:val="none"/>
        </w:rPr>
      </w:pPr>
    </w:p>
    <w:p w14:paraId="0DC7B7F8" w14:textId="504539AD" w:rsidR="00815EB2" w:rsidRPr="000B5034" w:rsidRDefault="00815EB2" w:rsidP="004E5109">
      <w:pPr>
        <w:spacing w:after="60" w:line="240" w:lineRule="auto"/>
        <w:jc w:val="both"/>
        <w:rPr>
          <w:rFonts w:ascii="Times New Roman" w:eastAsia="Calibri" w:hAnsi="Times New Roman" w:cs="Times New Roman"/>
          <w:kern w:val="0"/>
          <w:sz w:val="20"/>
          <w:szCs w:val="20"/>
          <w:lang w:val="es-ES" w:eastAsia="en-GB" w:bidi="ar-SA"/>
          <w14:ligatures w14:val="none"/>
        </w:rPr>
      </w:pPr>
      <w:r w:rsidRPr="000B5034">
        <w:rPr>
          <w:rFonts w:ascii="Times New Roman" w:eastAsia="Calibri" w:hAnsi="Times New Roman" w:cs="Times New Roman"/>
          <w:kern w:val="0"/>
          <w:sz w:val="20"/>
          <w:szCs w:val="20"/>
          <w:lang w:val="es-ES" w:eastAsia="en-GB" w:bidi="ar-SA"/>
          <w14:ligatures w14:val="none"/>
        </w:rPr>
        <w:t>"</w:t>
      </w:r>
      <m:oMath>
        <m:sSub>
          <m:sSubPr>
            <m:ctrlPr>
              <w:rPr>
                <w:rFonts w:ascii="Cambria Math" w:eastAsia="Calibri" w:hAnsi="Cambria Math" w:cs="Times New Roman"/>
                <w:b/>
                <w:bCs/>
                <w:kern w:val="0"/>
                <w:sz w:val="20"/>
                <w:szCs w:val="20"/>
                <w:lang w:val="en-GB" w:eastAsia="en-GB" w:bidi="ar-SA"/>
                <w14:ligatures w14:val="none"/>
              </w:rPr>
            </m:ctrlPr>
          </m:sSubPr>
          <m:e>
            <m:r>
              <m:rPr>
                <m:sty m:val="bi"/>
              </m:rPr>
              <w:rPr>
                <w:rFonts w:ascii="Cambria Math" w:eastAsia="Calibri" w:hAnsi="Cambria Math" w:cs="Times New Roman"/>
                <w:kern w:val="0"/>
                <w:sz w:val="20"/>
                <w:szCs w:val="20"/>
                <w:lang w:val="en-GB" w:eastAsia="en-GB" w:bidi="ar-SA"/>
                <w14:ligatures w14:val="none"/>
              </w:rPr>
              <m:t>N</m:t>
            </m:r>
          </m:e>
          <m:sub>
            <m:d>
              <m:dPr>
                <m:ctrlPr>
                  <w:rPr>
                    <w:rFonts w:ascii="Cambria Math" w:eastAsia="Calibri" w:hAnsi="Cambria Math" w:cs="Times New Roman"/>
                    <w:b/>
                    <w:bCs/>
                    <w:kern w:val="0"/>
                    <w:sz w:val="20"/>
                    <w:szCs w:val="20"/>
                    <w:lang w:val="en-GB" w:eastAsia="en-GB" w:bidi="ar-SA"/>
                    <w14:ligatures w14:val="none"/>
                  </w:rPr>
                </m:ctrlPr>
              </m:dPr>
              <m:e>
                <m:r>
                  <m:rPr>
                    <m:sty m:val="bi"/>
                  </m:rPr>
                  <w:rPr>
                    <w:rFonts w:ascii="Cambria Math" w:eastAsia="Calibri" w:hAnsi="Cambria Math" w:cs="Times New Roman"/>
                    <w:kern w:val="0"/>
                    <w:sz w:val="20"/>
                    <w:szCs w:val="20"/>
                    <w:lang w:val="en-GB" w:eastAsia="en-GB" w:bidi="ar-SA"/>
                    <w14:ligatures w14:val="none"/>
                  </w:rPr>
                  <m:t>t</m:t>
                </m:r>
                <m:r>
                  <m:rPr>
                    <m:sty m:val="b"/>
                  </m:rPr>
                  <w:rPr>
                    <w:rFonts w:ascii="Cambria Math" w:eastAsia="Calibri" w:hAnsi="Cambria Math" w:cs="Times New Roman"/>
                    <w:kern w:val="0"/>
                    <w:sz w:val="20"/>
                    <w:szCs w:val="20"/>
                    <w:lang w:val="es-ES" w:eastAsia="en-GB" w:bidi="ar-SA"/>
                    <w14:ligatures w14:val="none"/>
                  </w:rPr>
                  <m:t>-</m:t>
                </m:r>
                <m:r>
                  <m:rPr>
                    <m:sty m:val="b"/>
                  </m:rPr>
                  <w:rPr>
                    <w:rFonts w:ascii="Cambria Math" w:eastAsia="Calibri" w:hAnsi="Cambria Math" w:cs="Times New Roman"/>
                    <w:kern w:val="0"/>
                    <w:sz w:val="20"/>
                    <w:szCs w:val="20"/>
                    <w:lang w:val="en-GB" w:eastAsia="en-GB" w:bidi="ar-SA"/>
                    <w14:ligatures w14:val="none"/>
                  </w:rPr>
                  <m:t>1</m:t>
                </m:r>
              </m:e>
            </m:d>
          </m:sub>
        </m:sSub>
      </m:oMath>
      <w:r w:rsidRPr="000B5034">
        <w:rPr>
          <w:rFonts w:ascii="Times New Roman" w:eastAsia="Calibri" w:hAnsi="Times New Roman" w:cs="Times New Roman"/>
          <w:kern w:val="0"/>
          <w:sz w:val="20"/>
          <w:szCs w:val="20"/>
          <w:lang w:val="es-ES" w:eastAsia="en-GB" w:bidi="ar-SA"/>
          <w14:ligatures w14:val="none"/>
        </w:rPr>
        <w:t>"</w:t>
      </w:r>
      <w:r w:rsidRPr="000B5034">
        <w:rPr>
          <w:rFonts w:ascii="Times New Roman" w:eastAsia="Calibri" w:hAnsi="Times New Roman" w:cs="Times New Roman"/>
          <w:b/>
          <w:bCs/>
          <w:kern w:val="0"/>
          <w:sz w:val="20"/>
          <w:szCs w:val="20"/>
          <w:lang w:val="es-ES" w:eastAsia="en-GB" w:bidi="ar-SA"/>
          <w14:ligatures w14:val="none"/>
        </w:rPr>
        <w:t xml:space="preserve"> </w:t>
      </w:r>
      <w:r w:rsidR="00750638" w:rsidRPr="000B5034">
        <w:rPr>
          <w:rFonts w:ascii="Times New Roman" w:eastAsia="Calibri" w:hAnsi="Times New Roman" w:cs="Times New Roman"/>
          <w:kern w:val="0"/>
          <w:sz w:val="20"/>
          <w:szCs w:val="20"/>
          <w:lang w:val="es-ES" w:eastAsia="en-GB" w:bidi="ar-SA"/>
          <w14:ligatures w14:val="none"/>
        </w:rPr>
        <w:t>significa il numero di bond in circolazione alla fine del giorno precedente al giorno "t" giorni dopo la Data di Emissione;</w:t>
      </w:r>
    </w:p>
    <w:p w14:paraId="2FB234D8" w14:textId="77777777" w:rsidR="00750638" w:rsidRPr="000B5034" w:rsidRDefault="00750638" w:rsidP="004E5109">
      <w:pPr>
        <w:spacing w:after="60" w:line="240" w:lineRule="auto"/>
        <w:jc w:val="both"/>
        <w:rPr>
          <w:rFonts w:ascii="Times New Roman" w:eastAsia="Calibri" w:hAnsi="Times New Roman" w:cs="Times New Roman"/>
          <w:kern w:val="0"/>
          <w:sz w:val="20"/>
          <w:szCs w:val="20"/>
          <w:lang w:val="es-ES" w:eastAsia="en-GB" w:bidi="ar-SA"/>
          <w14:ligatures w14:val="none"/>
        </w:rPr>
      </w:pPr>
    </w:p>
    <w:p w14:paraId="41E95952" w14:textId="77777777" w:rsidR="00815EB2" w:rsidRPr="000B5034" w:rsidRDefault="00815EB2" w:rsidP="004E5109">
      <w:pPr>
        <w:spacing w:after="60" w:line="240" w:lineRule="auto"/>
        <w:jc w:val="both"/>
        <w:rPr>
          <w:rFonts w:ascii="Times New Roman" w:eastAsia="Calibri" w:hAnsi="Times New Roman" w:cs="Times New Roman"/>
          <w:kern w:val="0"/>
          <w:sz w:val="20"/>
          <w:szCs w:val="20"/>
          <w:lang w:val="es-ES" w:eastAsia="en-GB" w:bidi="ar-SA"/>
          <w14:ligatures w14:val="none"/>
        </w:rPr>
      </w:pPr>
    </w:p>
    <w:p w14:paraId="3014696B" w14:textId="55A66A96" w:rsidR="00815EB2" w:rsidRPr="000B5034" w:rsidRDefault="00815EB2" w:rsidP="004E5109">
      <w:pPr>
        <w:spacing w:after="60" w:line="240" w:lineRule="auto"/>
        <w:jc w:val="both"/>
        <w:rPr>
          <w:rFonts w:ascii="Times New Roman" w:eastAsia="Calibri" w:hAnsi="Times New Roman" w:cs="Times New Roman"/>
          <w:kern w:val="0"/>
          <w:sz w:val="20"/>
          <w:szCs w:val="20"/>
          <w:lang w:val="es-ES" w:eastAsia="en-GB" w:bidi="ar-SA"/>
          <w14:ligatures w14:val="none"/>
        </w:rPr>
      </w:pPr>
      <w:r w:rsidRPr="000B5034">
        <w:rPr>
          <w:rFonts w:ascii="Times New Roman" w:eastAsia="Calibri" w:hAnsi="Times New Roman" w:cs="Times New Roman"/>
          <w:kern w:val="0"/>
          <w:sz w:val="20"/>
          <w:szCs w:val="20"/>
          <w:lang w:val="es-ES" w:eastAsia="en-GB" w:bidi="ar-SA"/>
          <w14:ligatures w14:val="none"/>
        </w:rPr>
        <w:t>"</w:t>
      </w:r>
      <m:oMath>
        <m:r>
          <m:rPr>
            <m:sty m:val="bi"/>
          </m:rPr>
          <w:rPr>
            <w:rFonts w:ascii="Cambria Math" w:eastAsia="Calibri" w:hAnsi="Cambria Math" w:cs="Times New Roman"/>
            <w:kern w:val="0"/>
            <w:sz w:val="20"/>
            <w:szCs w:val="20"/>
            <w:lang w:val="en-GB" w:eastAsia="en-GB" w:bidi="ar-SA"/>
            <w14:ligatures w14:val="none"/>
          </w:rPr>
          <m:t>DER</m:t>
        </m:r>
      </m:oMath>
      <w:r w:rsidRPr="000B5034">
        <w:rPr>
          <w:rFonts w:ascii="Times New Roman" w:eastAsia="Calibri" w:hAnsi="Times New Roman" w:cs="Times New Roman"/>
          <w:kern w:val="0"/>
          <w:sz w:val="20"/>
          <w:szCs w:val="20"/>
          <w:lang w:val="es-ES" w:eastAsia="en-GB" w:bidi="ar-SA"/>
          <w14:ligatures w14:val="none"/>
        </w:rPr>
        <w:t xml:space="preserve">" </w:t>
      </w:r>
      <w:r w:rsidR="004C1C70" w:rsidRPr="000B5034">
        <w:rPr>
          <w:rFonts w:ascii="Times New Roman" w:eastAsia="Calibri" w:hAnsi="Times New Roman" w:cs="Times New Roman"/>
          <w:kern w:val="0"/>
          <w:sz w:val="20"/>
          <w:szCs w:val="20"/>
          <w:lang w:val="es-ES" w:eastAsia="en-GB" w:bidi="ar-SA"/>
          <w14:ligatures w14:val="none"/>
        </w:rPr>
        <w:t>significa Tasso di Riduzione del Diritto. Il Tasso di Riduzione del Diritto rappresenta la commissione di gestione espressa come il tasso al quale il Diritto di Criptovaluta Singolo decresce nel tempo; e</w:t>
      </w:r>
    </w:p>
    <w:p w14:paraId="1A1D046A" w14:textId="77777777" w:rsidR="00815EB2" w:rsidRPr="000B5034" w:rsidRDefault="00815EB2" w:rsidP="004E5109">
      <w:pPr>
        <w:spacing w:after="60" w:line="240" w:lineRule="auto"/>
        <w:jc w:val="both"/>
        <w:rPr>
          <w:rFonts w:ascii="Times New Roman" w:eastAsia="Calibri" w:hAnsi="Times New Roman" w:cs="Times New Roman"/>
          <w:kern w:val="0"/>
          <w:sz w:val="20"/>
          <w:szCs w:val="20"/>
          <w:lang w:val="es-ES" w:eastAsia="en-GB" w:bidi="ar-SA"/>
          <w14:ligatures w14:val="none"/>
        </w:rPr>
      </w:pPr>
    </w:p>
    <w:p w14:paraId="663F287A" w14:textId="3FB7CE68" w:rsidR="00815EB2" w:rsidRPr="000B5034" w:rsidRDefault="00815EB2" w:rsidP="004E5109">
      <w:pPr>
        <w:spacing w:after="60" w:line="240" w:lineRule="auto"/>
        <w:jc w:val="both"/>
        <w:rPr>
          <w:rFonts w:ascii="Times New Roman" w:eastAsia="Calibri" w:hAnsi="Times New Roman" w:cs="Times New Roman"/>
          <w:kern w:val="0"/>
          <w:sz w:val="20"/>
          <w:szCs w:val="20"/>
          <w:lang w:val="es-ES" w:eastAsia="en-GB" w:bidi="ar-SA"/>
          <w14:ligatures w14:val="none"/>
        </w:rPr>
      </w:pPr>
      <w:r w:rsidRPr="000B5034">
        <w:rPr>
          <w:rFonts w:ascii="Times New Roman" w:eastAsia="Calibri" w:hAnsi="Times New Roman" w:cs="Times New Roman"/>
          <w:kern w:val="0"/>
          <w:sz w:val="20"/>
          <w:szCs w:val="20"/>
          <w:lang w:val="es-ES" w:eastAsia="en-GB" w:bidi="ar-SA"/>
          <w14:ligatures w14:val="none"/>
        </w:rPr>
        <w:t>"</w:t>
      </w:r>
      <m:oMath>
        <m:sSubSup>
          <m:sSubSupPr>
            <m:ctrlPr>
              <w:rPr>
                <w:rFonts w:ascii="Cambria Math" w:eastAsia="Calibri" w:hAnsi="Cambria Math" w:cs="Times New Roman"/>
                <w:b/>
                <w:bCs/>
                <w:i/>
                <w:iCs/>
                <w:kern w:val="0"/>
                <w:sz w:val="20"/>
                <w:szCs w:val="20"/>
                <w:lang w:val="en-GB" w:eastAsia="en-GB" w:bidi="ar-SA"/>
                <w14:ligatures w14:val="none"/>
              </w:rPr>
            </m:ctrlPr>
          </m:sSubSupPr>
          <m:e>
            <m:r>
              <m:rPr>
                <m:sty m:val="bi"/>
              </m:rPr>
              <w:rPr>
                <w:rFonts w:ascii="Cambria Math" w:eastAsia="Calibri" w:hAnsi="Cambria Math" w:cs="Times New Roman"/>
                <w:kern w:val="0"/>
                <w:sz w:val="20"/>
                <w:szCs w:val="20"/>
                <w:lang w:val="en-GB" w:eastAsia="en-GB" w:bidi="ar-SA"/>
                <w14:ligatures w14:val="none"/>
              </w:rPr>
              <m:t>DSC</m:t>
            </m:r>
          </m:e>
          <m:sub>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es-ES" w:eastAsia="en-GB" w:bidi="ar-SA"/>
                <w14:ligatures w14:val="none"/>
              </w:rPr>
              <m:t>)</m:t>
            </m:r>
          </m:sub>
          <m:sup>
            <m:r>
              <m:rPr>
                <m:sty m:val="bi"/>
              </m:rPr>
              <w:rPr>
                <w:rFonts w:ascii="Cambria Math" w:eastAsia="Calibri" w:hAnsi="Cambria Math" w:cs="Times New Roman"/>
                <w:kern w:val="0"/>
                <w:sz w:val="20"/>
                <w:szCs w:val="20"/>
                <w:lang w:val="en-GB" w:eastAsia="en-GB" w:bidi="ar-SA"/>
                <w14:ligatures w14:val="none"/>
              </w:rPr>
              <m:t>i</m:t>
            </m:r>
          </m:sup>
        </m:sSubSup>
      </m:oMath>
      <w:r w:rsidRPr="000B5034">
        <w:rPr>
          <w:rFonts w:ascii="Times New Roman" w:eastAsia="Calibri" w:hAnsi="Times New Roman" w:cs="Times New Roman"/>
          <w:kern w:val="0"/>
          <w:sz w:val="20"/>
          <w:szCs w:val="20"/>
          <w:lang w:val="es-ES" w:eastAsia="en-GB" w:bidi="ar-SA"/>
          <w14:ligatures w14:val="none"/>
        </w:rPr>
        <w:t xml:space="preserve">" </w:t>
      </w:r>
      <w:r w:rsidR="004C1C70" w:rsidRPr="000B5034">
        <w:rPr>
          <w:rFonts w:ascii="Times New Roman" w:eastAsia="Calibri" w:hAnsi="Times New Roman" w:cs="Times New Roman"/>
          <w:kern w:val="0"/>
          <w:sz w:val="20"/>
          <w:szCs w:val="20"/>
          <w:lang w:val="es-ES" w:eastAsia="en-GB" w:bidi="ar-SA"/>
          <w14:ligatures w14:val="none"/>
        </w:rPr>
        <w:t>indica le commissioni applicate ai premi di staking rispetto alla particolare Criptovaluta compresa nel paniere (denominata "i").</w:t>
      </w:r>
    </w:p>
    <w:p w14:paraId="2000C596" w14:textId="77777777" w:rsidR="00815EB2" w:rsidRPr="000B5034" w:rsidRDefault="00815EB2" w:rsidP="004E5109">
      <w:pPr>
        <w:spacing w:after="60" w:line="240" w:lineRule="auto"/>
        <w:jc w:val="both"/>
        <w:rPr>
          <w:rFonts w:ascii="Times New Roman" w:eastAsia="Calibri" w:hAnsi="Times New Roman" w:cs="Times New Roman"/>
          <w:b/>
          <w:bCs/>
          <w:i/>
          <w:iCs/>
          <w:kern w:val="0"/>
          <w:sz w:val="20"/>
          <w:szCs w:val="20"/>
          <w:lang w:val="es-ES" w:eastAsia="en-GB" w:bidi="ar-SA"/>
          <w14:ligatures w14:val="none"/>
        </w:rPr>
      </w:pPr>
    </w:p>
    <w:p w14:paraId="223476B0" w14:textId="77777777" w:rsidR="004C6D4F" w:rsidRPr="000B5034" w:rsidRDefault="004C6D4F" w:rsidP="004E5109">
      <w:pPr>
        <w:spacing w:after="60" w:line="240" w:lineRule="auto"/>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Il prezzo di emissione per gli investitori che non sono Partecipanti Autorizzati sarà determinato su base continuativa.</w:t>
      </w:r>
    </w:p>
    <w:p w14:paraId="51BA0B90" w14:textId="6D71C1A8" w:rsidR="004C6D4F" w:rsidRPr="000B5034" w:rsidRDefault="004C6D4F" w:rsidP="004E5109">
      <w:pPr>
        <w:spacing w:after="60" w:line="240" w:lineRule="auto"/>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 xml:space="preserve">Alla data di emissione, il Diritto di Criptovaluta corrisponderà a 0,002 ETH per Bond, ovvero i Partecipanti Autorizzati che acquistano Bond dall'Emittente riceveranno un Bond per ogni 0,002 ETH. Inoltre, l'Emittente addebiterà una commissione di sottoscrizione fino allo 0,50% di 0,002 ETH dal Partecipante Autorizzato. Qualora un investitore acquisti un Bond da un Partecipante Autorizzato in </w:t>
      </w:r>
      <w:r w:rsidRPr="00D33490">
        <w:rPr>
          <w:rFonts w:ascii="Times New Roman" w:eastAsia="MS Mincho" w:hAnsi="Times New Roman" w:cs="Times New Roman"/>
          <w:kern w:val="0"/>
          <w:sz w:val="20"/>
          <w:szCs w:val="20"/>
          <w:lang w:val="en-US" w:bidi="ar-SA"/>
          <w14:ligatures w14:val="none"/>
        </w:rPr>
        <w:t>Euro</w:t>
      </w:r>
      <w:r w:rsidRPr="000B5034">
        <w:rPr>
          <w:rFonts w:ascii="Times New Roman" w:eastAsia="MS Mincho" w:hAnsi="Times New Roman" w:cs="Times New Roman"/>
          <w:kern w:val="0"/>
          <w:sz w:val="20"/>
          <w:szCs w:val="20"/>
          <w:lang w:val="en-US" w:bidi="ar-SA"/>
          <w14:ligatures w14:val="none"/>
        </w:rPr>
        <w:t xml:space="preserve">, l'equivalente in </w:t>
      </w:r>
      <w:r w:rsidRPr="00D33490">
        <w:rPr>
          <w:rFonts w:ascii="Times New Roman" w:eastAsia="MS Mincho" w:hAnsi="Times New Roman" w:cs="Times New Roman"/>
          <w:kern w:val="0"/>
          <w:sz w:val="20"/>
          <w:szCs w:val="20"/>
          <w:lang w:val="en-US" w:bidi="ar-SA"/>
          <w14:ligatures w14:val="none"/>
        </w:rPr>
        <w:t>Euro</w:t>
      </w:r>
      <w:r w:rsidRPr="000B5034">
        <w:rPr>
          <w:rFonts w:ascii="Times New Roman" w:eastAsia="MS Mincho" w:hAnsi="Times New Roman" w:cs="Times New Roman"/>
          <w:kern w:val="0"/>
          <w:sz w:val="20"/>
          <w:szCs w:val="20"/>
          <w:lang w:val="en-US" w:bidi="ar-SA"/>
          <w14:ligatures w14:val="none"/>
        </w:rPr>
        <w:t xml:space="preserve"> del Diritto di Criptovaluta a partire dal </w:t>
      </w:r>
      <w:r w:rsidR="005D59CE" w:rsidRPr="000B5034">
        <w:rPr>
          <w:rFonts w:ascii="Times New Roman" w:eastAsia="MS Mincho" w:hAnsi="Times New Roman" w:cs="Times New Roman"/>
          <w:kern w:val="0"/>
          <w:sz w:val="20"/>
          <w:szCs w:val="20"/>
          <w:lang w:val="en-US" w:bidi="ar-SA"/>
          <w14:ligatures w14:val="none"/>
        </w:rPr>
        <w:t xml:space="preserve">16 </w:t>
      </w:r>
      <w:r w:rsidR="005D59CE" w:rsidRPr="000B5034">
        <w:rPr>
          <w:rFonts w:ascii="Times New Roman" w:eastAsia="MS Mincho" w:hAnsi="Times New Roman" w:cs="Times New Roman"/>
          <w:kern w:val="0"/>
          <w:sz w:val="20"/>
          <w:szCs w:val="20"/>
          <w:lang w:val="es-ES" w:bidi="ar-SA"/>
          <w14:ligatures w14:val="none"/>
        </w:rPr>
        <w:t>gennaio</w:t>
      </w:r>
      <w:r w:rsidR="005D59CE" w:rsidRPr="00D33490">
        <w:rPr>
          <w:rFonts w:ascii="Times New Roman" w:eastAsia="MS Mincho" w:hAnsi="Times New Roman" w:cs="Times New Roman"/>
          <w:kern w:val="0"/>
          <w:sz w:val="20"/>
          <w:szCs w:val="20"/>
          <w:lang w:val="en-US" w:bidi="ar-SA"/>
          <w14:ligatures w14:val="none"/>
        </w:rPr>
        <w:t xml:space="preserve"> 2024</w:t>
      </w:r>
      <w:r w:rsidRPr="000B5034">
        <w:rPr>
          <w:rFonts w:ascii="Times New Roman" w:eastAsia="MS Mincho" w:hAnsi="Times New Roman" w:cs="Times New Roman"/>
          <w:kern w:val="0"/>
          <w:sz w:val="20"/>
          <w:szCs w:val="20"/>
          <w:lang w:val="en-US" w:bidi="ar-SA"/>
          <w14:ligatures w14:val="none"/>
        </w:rPr>
        <w:t xml:space="preserve">, sulla base di un valore di ETH di </w:t>
      </w:r>
      <w:r w:rsidRPr="00D33490">
        <w:rPr>
          <w:rFonts w:ascii="Times New Roman" w:eastAsia="MS Mincho" w:hAnsi="Times New Roman" w:cs="Times New Roman"/>
          <w:kern w:val="0"/>
          <w:sz w:val="20"/>
          <w:szCs w:val="20"/>
          <w:lang w:val="en-US" w:bidi="ar-SA"/>
          <w14:ligatures w14:val="none"/>
        </w:rPr>
        <w:t xml:space="preserve">Euro </w:t>
      </w:r>
      <w:r w:rsidR="005D59CE" w:rsidRPr="00D33490">
        <w:rPr>
          <w:rFonts w:ascii="Times New Roman" w:eastAsia="MS Mincho" w:hAnsi="Times New Roman" w:cs="Times New Roman"/>
          <w:kern w:val="0"/>
          <w:sz w:val="20"/>
          <w:szCs w:val="20"/>
          <w:lang w:val="en-US" w:bidi="ar-SA"/>
          <w14:ligatures w14:val="none"/>
        </w:rPr>
        <w:t>3,251.11</w:t>
      </w:r>
      <w:r w:rsidRPr="000B5034">
        <w:rPr>
          <w:rFonts w:ascii="Times New Roman" w:eastAsia="MS Mincho" w:hAnsi="Times New Roman" w:cs="Times New Roman"/>
          <w:kern w:val="0"/>
          <w:sz w:val="20"/>
          <w:szCs w:val="20"/>
          <w:lang w:val="en-US" w:bidi="ar-SA"/>
          <w14:ligatures w14:val="none"/>
        </w:rPr>
        <w:t xml:space="preserve"> corrisponderà a </w:t>
      </w:r>
      <w:r w:rsidRPr="00D33490">
        <w:rPr>
          <w:rFonts w:ascii="Times New Roman" w:eastAsia="MS Mincho" w:hAnsi="Times New Roman" w:cs="Times New Roman"/>
          <w:kern w:val="0"/>
          <w:sz w:val="20"/>
          <w:szCs w:val="20"/>
          <w:lang w:val="en-US" w:bidi="ar-SA"/>
          <w14:ligatures w14:val="none"/>
        </w:rPr>
        <w:t xml:space="preserve">Euro </w:t>
      </w:r>
      <w:r w:rsidR="005D59CE" w:rsidRPr="00D33490">
        <w:rPr>
          <w:rFonts w:ascii="Times New Roman" w:eastAsia="MS Mincho" w:hAnsi="Times New Roman" w:cs="Times New Roman"/>
          <w:kern w:val="0"/>
          <w:sz w:val="20"/>
          <w:szCs w:val="20"/>
          <w:lang w:val="en-US" w:bidi="ar-SA"/>
          <w14:ligatures w14:val="none"/>
        </w:rPr>
        <w:t>4.70</w:t>
      </w:r>
      <w:r w:rsidRPr="000B5034">
        <w:rPr>
          <w:rFonts w:ascii="Times New Roman" w:eastAsia="MS Mincho" w:hAnsi="Times New Roman" w:cs="Times New Roman"/>
          <w:kern w:val="0"/>
          <w:sz w:val="20"/>
          <w:szCs w:val="20"/>
          <w:lang w:val="en-US" w:bidi="ar-SA"/>
          <w14:ligatures w14:val="none"/>
        </w:rPr>
        <w:t xml:space="preserve">. Tuttavia, dato che ogni Partecipante Autorizzato può addebitare una commissione di sottoscrizione dall'investitore che sta vendendo i Bond a propria discrezione, il prezzo di acquisto di un Bond potrà essere superiore a </w:t>
      </w:r>
      <w:r w:rsidR="005D59CE" w:rsidRPr="000B5034">
        <w:rPr>
          <w:rFonts w:ascii="Times New Roman" w:eastAsia="MS Mincho" w:hAnsi="Times New Roman" w:cs="Times New Roman"/>
          <w:kern w:val="0"/>
          <w:sz w:val="20"/>
          <w:szCs w:val="20"/>
          <w:lang w:val="en-US" w:bidi="ar-SA"/>
          <w14:ligatures w14:val="none"/>
        </w:rPr>
        <w:t>4.70</w:t>
      </w:r>
      <w:r w:rsidRPr="00D33490">
        <w:rPr>
          <w:rFonts w:ascii="Times New Roman" w:eastAsia="MS Mincho" w:hAnsi="Times New Roman" w:cs="Times New Roman"/>
          <w:kern w:val="0"/>
          <w:sz w:val="20"/>
          <w:szCs w:val="20"/>
          <w:lang w:val="en-US" w:bidi="ar-SA"/>
          <w14:ligatures w14:val="none"/>
        </w:rPr>
        <w:t xml:space="preserve"> Euro</w:t>
      </w:r>
      <w:r w:rsidRPr="000B5034">
        <w:rPr>
          <w:rFonts w:ascii="Times New Roman" w:eastAsia="MS Mincho" w:hAnsi="Times New Roman" w:cs="Times New Roman"/>
          <w:kern w:val="0"/>
          <w:sz w:val="20"/>
          <w:szCs w:val="20"/>
          <w:lang w:val="en-US" w:bidi="ar-SA"/>
          <w14:ligatures w14:val="none"/>
        </w:rPr>
        <w:t>.</w:t>
      </w:r>
    </w:p>
    <w:p w14:paraId="39670F35" w14:textId="695A740B" w:rsidR="004C6D4F" w:rsidRPr="000B5034" w:rsidRDefault="004C6D4F" w:rsidP="004E5109">
      <w:pPr>
        <w:spacing w:after="60" w:line="240" w:lineRule="auto"/>
        <w:jc w:val="both"/>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b/>
          <w:bCs/>
          <w:i/>
          <w:iCs/>
          <w:kern w:val="0"/>
          <w:sz w:val="20"/>
          <w:szCs w:val="20"/>
          <w:lang w:val="en-US" w:bidi="ar-SA"/>
          <w14:ligatures w14:val="none"/>
        </w:rPr>
        <w:t>Spese:</w:t>
      </w:r>
      <w:r w:rsidRPr="000B5034">
        <w:rPr>
          <w:rFonts w:ascii="Times New Roman" w:eastAsia="MS Mincho" w:hAnsi="Times New Roman" w:cs="Times New Roman"/>
          <w:kern w:val="0"/>
          <w:sz w:val="20"/>
          <w:szCs w:val="20"/>
          <w:lang w:val="en-US" w:bidi="ar-SA"/>
          <w14:ligatures w14:val="none"/>
        </w:rPr>
        <w:t xml:space="preserve"> Le spese totali stimate per l'emissione e/o l'offerta sono pari a </w:t>
      </w:r>
      <w:r w:rsidRPr="00D33490">
        <w:rPr>
          <w:rFonts w:ascii="Times New Roman" w:eastAsia="MS Mincho" w:hAnsi="Times New Roman" w:cs="Times New Roman"/>
          <w:kern w:val="0"/>
          <w:sz w:val="20"/>
          <w:szCs w:val="20"/>
          <w:lang w:val="en-US" w:bidi="ar-SA"/>
          <w14:ligatures w14:val="none"/>
        </w:rPr>
        <w:t>EUR 35.500</w:t>
      </w:r>
      <w:r w:rsidRPr="000B5034">
        <w:rPr>
          <w:rFonts w:ascii="Times New Roman" w:eastAsia="MS Mincho" w:hAnsi="Times New Roman" w:cs="Times New Roman"/>
          <w:kern w:val="0"/>
          <w:sz w:val="20"/>
          <w:szCs w:val="20"/>
          <w:lang w:val="en-US" w:bidi="ar-SA"/>
          <w14:ligatures w14:val="none"/>
        </w:rPr>
        <w:t>. L'Emittente addebiterà ai Partecipanti Autorizzati una commissione di sottoscrizione fino allo 0,50% del Diritto di Criptovaluta dei Bond. L'Emittente non ha alcuna influenza sul fatto se e in quale misura il rispettivo Partecipante Autorizzato addebiterà commissioni aggiuntive. Tali commissioni possono variare a seconda del Partecipante Autorizzato.</w:t>
      </w:r>
    </w:p>
    <w:p w14:paraId="30E9A239" w14:textId="5E7F85EF" w:rsidR="00815EB2" w:rsidRPr="000B5034" w:rsidRDefault="001C3847" w:rsidP="004E5109">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n-US" w:bidi="ar-SA"/>
          <w14:ligatures w14:val="none"/>
        </w:rPr>
      </w:pPr>
      <w:r w:rsidRPr="000B5034">
        <w:rPr>
          <w:rFonts w:ascii="Times New Roman" w:eastAsia="Times New Roman" w:hAnsi="Times New Roman" w:cs="Times New Roman"/>
          <w:b/>
          <w:bCs/>
          <w:color w:val="000000"/>
          <w:kern w:val="0"/>
          <w:sz w:val="20"/>
          <w:szCs w:val="20"/>
          <w:lang w:val="en-US" w:bidi="ar-SA"/>
          <w14:ligatures w14:val="none"/>
        </w:rPr>
        <w:t>Perché è redatto il presente prospetto?</w:t>
      </w:r>
    </w:p>
    <w:p w14:paraId="0E0140B9" w14:textId="4CDA74F3" w:rsidR="00815EB2" w:rsidRPr="000B5034" w:rsidRDefault="001C3847" w:rsidP="004E5109">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0B5034">
        <w:rPr>
          <w:rFonts w:ascii="Times New Roman" w:eastAsia="Times New Roman" w:hAnsi="Times New Roman" w:cs="Times New Roman"/>
          <w:b/>
          <w:bCs/>
          <w:iCs/>
          <w:color w:val="000000"/>
          <w:kern w:val="0"/>
          <w:sz w:val="20"/>
          <w:szCs w:val="20"/>
          <w:lang w:val="en-US" w:bidi="ar-SA"/>
          <w14:ligatures w14:val="none"/>
        </w:rPr>
        <w:t>Ragioni per l’offerta o per l’ammissione alla negoziazione in un mercato regolamentato</w:t>
      </w:r>
    </w:p>
    <w:p w14:paraId="7A00F87F" w14:textId="4B4AC8BC" w:rsidR="001C3847" w:rsidRPr="000B5034" w:rsidRDefault="001C3847" w:rsidP="004E5109">
      <w:pPr>
        <w:spacing w:after="60" w:line="240" w:lineRule="auto"/>
        <w:jc w:val="both"/>
        <w:rPr>
          <w:rFonts w:ascii="Times New Roman" w:eastAsia="MS Mincho" w:hAnsi="Times New Roman" w:cs="Times New Roman"/>
          <w:kern w:val="0"/>
          <w:sz w:val="20"/>
          <w:szCs w:val="20"/>
          <w:lang w:val="fr-FR" w:bidi="ar-SA"/>
          <w14:ligatures w14:val="none"/>
        </w:rPr>
      </w:pPr>
      <w:r w:rsidRPr="000B5034">
        <w:rPr>
          <w:rFonts w:ascii="Times New Roman" w:eastAsia="MS Mincho" w:hAnsi="Times New Roman" w:cs="Times New Roman"/>
          <w:kern w:val="0"/>
          <w:sz w:val="20"/>
          <w:szCs w:val="20"/>
          <w:lang w:val="fr-FR" w:bidi="ar-SA"/>
          <w14:ligatures w14:val="none"/>
        </w:rPr>
        <w:t>L'Emittente intende conseguire profitti con l'emissione dei Bond. L'Emittente realizza profitti mediante l'addebito di commissioni di sottoscrizione, di determinate commissioni di rimborso e del Tasso di Diritto Decrescente.</w:t>
      </w:r>
    </w:p>
    <w:p w14:paraId="246A03A0" w14:textId="6ABB6F93" w:rsidR="00815EB2" w:rsidRPr="000B5034" w:rsidRDefault="00B15845" w:rsidP="004E5109">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s-ES" w:bidi="ar-SA"/>
          <w14:ligatures w14:val="none"/>
        </w:rPr>
      </w:pPr>
      <w:bookmarkStart w:id="1" w:name="_Hlk152927106"/>
      <w:r w:rsidRPr="000B5034">
        <w:rPr>
          <w:rFonts w:ascii="Times New Roman" w:eastAsia="Times New Roman" w:hAnsi="Times New Roman" w:cs="Times New Roman"/>
          <w:b/>
          <w:bCs/>
          <w:iCs/>
          <w:color w:val="000000"/>
          <w:kern w:val="0"/>
          <w:sz w:val="20"/>
          <w:szCs w:val="20"/>
          <w:lang w:val="es-ES" w:bidi="ar-SA"/>
          <w14:ligatures w14:val="none"/>
        </w:rPr>
        <w:t xml:space="preserve">Utilizzo e impiego dell'importo stimato netto dei proventi </w:t>
      </w:r>
    </w:p>
    <w:p w14:paraId="26921A2D" w14:textId="359F14EC" w:rsidR="00B15845" w:rsidRPr="000B5034" w:rsidRDefault="00B15845" w:rsidP="004E5109">
      <w:pPr>
        <w:spacing w:after="60" w:line="240" w:lineRule="auto"/>
        <w:jc w:val="both"/>
        <w:rPr>
          <w:rFonts w:ascii="Times New Roman" w:eastAsia="MS Mincho" w:hAnsi="Times New Roman" w:cs="Times New Roman"/>
          <w:kern w:val="0"/>
          <w:sz w:val="20"/>
          <w:szCs w:val="20"/>
          <w:lang w:val="es-ES" w:bidi="ar-SA"/>
          <w14:ligatures w14:val="none"/>
        </w:rPr>
      </w:pPr>
      <w:r w:rsidRPr="000B5034">
        <w:rPr>
          <w:rFonts w:ascii="Times New Roman" w:eastAsia="MS Mincho" w:hAnsi="Times New Roman" w:cs="Times New Roman"/>
          <w:kern w:val="0"/>
          <w:sz w:val="20"/>
          <w:szCs w:val="20"/>
          <w:lang w:val="es-ES" w:bidi="ar-SA"/>
          <w14:ligatures w14:val="none"/>
        </w:rPr>
        <w:t xml:space="preserve">I Bond sono acquistati presso l'Emittente con Criptovaluta. Criptovaluta ricevuta dall'Emittente attraverso la sottoscrizione dei Bond sarà trasferito al Portafoglio di Deposito e garantito da un accordo di garanzia a beneficio dei Titolari di Bond, del Fiduciario di Sicurezza (Security Trustee) e di un rappresentante dei Titolari di Bond (qualora nominato). Nell'ipotesi di un totale di 3.200.000.000 di unità di Bond vendute e sulla base del valore di ETH di </w:t>
      </w:r>
      <w:r w:rsidR="005D59CE" w:rsidRPr="000B5034">
        <w:rPr>
          <w:rFonts w:ascii="Times New Roman" w:eastAsia="MS Mincho" w:hAnsi="Times New Roman" w:cs="Times New Roman"/>
          <w:kern w:val="0"/>
          <w:sz w:val="20"/>
          <w:szCs w:val="20"/>
          <w:lang w:val="es-ES" w:bidi="ar-SA"/>
          <w14:ligatures w14:val="none"/>
        </w:rPr>
        <w:t>2,351.11</w:t>
      </w:r>
      <w:r w:rsidRPr="000B5034">
        <w:rPr>
          <w:rFonts w:ascii="Times New Roman" w:eastAsia="MS Mincho" w:hAnsi="Times New Roman" w:cs="Times New Roman"/>
          <w:kern w:val="0"/>
          <w:sz w:val="20"/>
          <w:szCs w:val="20"/>
          <w:lang w:val="es-ES" w:bidi="ar-SA"/>
          <w14:ligatures w14:val="none"/>
        </w:rPr>
        <w:t xml:space="preserve"> </w:t>
      </w:r>
      <w:r w:rsidRPr="00D33490">
        <w:rPr>
          <w:rFonts w:ascii="Times New Roman" w:eastAsia="MS Mincho" w:hAnsi="Times New Roman" w:cs="Times New Roman"/>
          <w:kern w:val="0"/>
          <w:sz w:val="20"/>
          <w:szCs w:val="20"/>
          <w:lang w:val="es-ES" w:bidi="ar-SA"/>
          <w14:ligatures w14:val="none"/>
        </w:rPr>
        <w:t>euro</w:t>
      </w:r>
      <w:r w:rsidRPr="000B5034">
        <w:rPr>
          <w:rFonts w:ascii="Times New Roman" w:eastAsia="MS Mincho" w:hAnsi="Times New Roman" w:cs="Times New Roman"/>
          <w:kern w:val="0"/>
          <w:sz w:val="20"/>
          <w:szCs w:val="20"/>
          <w:lang w:val="es-ES" w:bidi="ar-SA"/>
          <w14:ligatures w14:val="none"/>
        </w:rPr>
        <w:t xml:space="preserve"> (al</w:t>
      </w:r>
      <w:r w:rsidR="005D59CE" w:rsidRPr="000B5034">
        <w:rPr>
          <w:rFonts w:ascii="Times New Roman" w:eastAsia="MS Mincho" w:hAnsi="Times New Roman" w:cs="Times New Roman"/>
          <w:kern w:val="0"/>
          <w:sz w:val="20"/>
          <w:szCs w:val="20"/>
          <w:lang w:val="es-ES" w:bidi="ar-SA"/>
          <w14:ligatures w14:val="none"/>
        </w:rPr>
        <w:t xml:space="preserve"> 16 gennaio</w:t>
      </w:r>
      <w:r w:rsidRPr="000B5034">
        <w:rPr>
          <w:rFonts w:ascii="Times New Roman" w:eastAsia="MS Mincho" w:hAnsi="Times New Roman" w:cs="Times New Roman"/>
          <w:kern w:val="0"/>
          <w:sz w:val="20"/>
          <w:szCs w:val="20"/>
          <w:lang w:val="es-ES" w:bidi="ar-SA"/>
          <w14:ligatures w14:val="none"/>
        </w:rPr>
        <w:t xml:space="preserve"> 2023) il ricavo netto per ogni 10.000 unità di Bond è pari a </w:t>
      </w:r>
      <w:r w:rsidRPr="00D33490">
        <w:rPr>
          <w:rFonts w:ascii="Times New Roman" w:eastAsia="MS Mincho" w:hAnsi="Times New Roman" w:cs="Times New Roman"/>
          <w:kern w:val="0"/>
          <w:sz w:val="20"/>
          <w:szCs w:val="20"/>
          <w:lang w:val="es-ES" w:bidi="ar-SA"/>
          <w14:ligatures w14:val="none"/>
        </w:rPr>
        <w:t xml:space="preserve">EUR </w:t>
      </w:r>
      <w:r w:rsidR="00451573" w:rsidRPr="00D33490">
        <w:rPr>
          <w:rFonts w:ascii="Times New Roman" w:eastAsia="MS Mincho" w:hAnsi="Times New Roman" w:cs="Times New Roman"/>
          <w:kern w:val="0"/>
          <w:sz w:val="20"/>
          <w:szCs w:val="20"/>
          <w:lang w:val="es-ES" w:bidi="ar-SA"/>
          <w14:ligatures w14:val="none"/>
        </w:rPr>
        <w:t>47,022.20</w:t>
      </w:r>
      <w:r w:rsidRPr="00D33490">
        <w:rPr>
          <w:rFonts w:ascii="Times New Roman" w:eastAsia="MS Mincho" w:hAnsi="Times New Roman" w:cs="Times New Roman"/>
          <w:kern w:val="0"/>
          <w:sz w:val="20"/>
          <w:szCs w:val="20"/>
          <w:lang w:val="es-ES" w:bidi="ar-SA"/>
          <w14:ligatures w14:val="none"/>
        </w:rPr>
        <w:t>.</w:t>
      </w:r>
    </w:p>
    <w:bookmarkEnd w:id="1"/>
    <w:p w14:paraId="073B18B3" w14:textId="65566773" w:rsidR="00815EB2" w:rsidRPr="000B5034" w:rsidRDefault="00A80A21" w:rsidP="004E5109">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0B5034">
        <w:rPr>
          <w:rFonts w:ascii="Times New Roman" w:eastAsia="Times New Roman" w:hAnsi="Times New Roman" w:cs="Times New Roman"/>
          <w:b/>
          <w:bCs/>
          <w:iCs/>
          <w:color w:val="000000"/>
          <w:kern w:val="0"/>
          <w:sz w:val="20"/>
          <w:szCs w:val="20"/>
          <w:lang w:val="en-US" w:bidi="ar-SA"/>
          <w14:ligatures w14:val="none"/>
        </w:rPr>
        <w:lastRenderedPageBreak/>
        <w:t xml:space="preserve">Accordo di Sottoscrizione </w:t>
      </w:r>
      <w:r w:rsidRPr="000B5034">
        <w:rPr>
          <w:rFonts w:ascii="Times New Roman" w:eastAsia="Times New Roman" w:hAnsi="Times New Roman" w:cs="Times New Roman"/>
          <w:i/>
          <w:color w:val="000000"/>
          <w:kern w:val="0"/>
          <w:sz w:val="20"/>
          <w:szCs w:val="20"/>
          <w:lang w:val="en-US" w:bidi="ar-SA"/>
          <w14:ligatures w14:val="none"/>
        </w:rPr>
        <w:t>(Underwriting Agreement)</w:t>
      </w:r>
    </w:p>
    <w:p w14:paraId="012F40E8" w14:textId="580F275E" w:rsidR="00815EB2" w:rsidRPr="000B5034" w:rsidRDefault="00CB0985" w:rsidP="004E5109">
      <w:pPr>
        <w:spacing w:after="60" w:line="240" w:lineRule="auto"/>
        <w:ind w:left="720" w:hanging="720"/>
        <w:jc w:val="both"/>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L’Emittente non ha sottoscritto alcun accordo di sottoscrizione (underwriting agreement).</w:t>
      </w:r>
    </w:p>
    <w:p w14:paraId="0CD9A866" w14:textId="42AC5C34" w:rsidR="00815EB2" w:rsidRPr="000B5034" w:rsidRDefault="00CB0985" w:rsidP="004E5109">
      <w:pPr>
        <w:numPr>
          <w:ilvl w:val="3"/>
          <w:numId w:val="1"/>
        </w:numPr>
        <w:tabs>
          <w:tab w:val="num" w:pos="426"/>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0B5034">
        <w:rPr>
          <w:rFonts w:ascii="Times New Roman" w:eastAsia="Times New Roman" w:hAnsi="Times New Roman" w:cs="Times New Roman"/>
          <w:b/>
          <w:bCs/>
          <w:iCs/>
          <w:color w:val="000000"/>
          <w:kern w:val="0"/>
          <w:sz w:val="20"/>
          <w:szCs w:val="20"/>
          <w:lang w:val="en-US" w:bidi="ar-SA"/>
          <w14:ligatures w14:val="none"/>
        </w:rPr>
        <w:t xml:space="preserve">Conflitti d’interesse più significativi che riguardano l'offerta o l'ammissione alla negoziazione </w:t>
      </w:r>
    </w:p>
    <w:bookmarkEnd w:id="0"/>
    <w:p w14:paraId="371DA691" w14:textId="3DE98551" w:rsidR="003F2606" w:rsidRPr="004E5109" w:rsidRDefault="004E5109" w:rsidP="004E5109">
      <w:pPr>
        <w:spacing w:after="60"/>
        <w:rPr>
          <w:rFonts w:ascii="Times New Roman" w:eastAsia="MS Mincho" w:hAnsi="Times New Roman" w:cs="Times New Roman"/>
          <w:kern w:val="0"/>
          <w:sz w:val="20"/>
          <w:szCs w:val="20"/>
          <w:lang w:val="en-US" w:bidi="ar-SA"/>
          <w14:ligatures w14:val="none"/>
        </w:rPr>
      </w:pPr>
      <w:r w:rsidRPr="000B5034">
        <w:rPr>
          <w:rFonts w:ascii="Times New Roman" w:eastAsia="MS Mincho" w:hAnsi="Times New Roman" w:cs="Times New Roman"/>
          <w:kern w:val="0"/>
          <w:sz w:val="20"/>
          <w:szCs w:val="20"/>
          <w:lang w:val="en-US" w:bidi="ar-SA"/>
          <w14:ligatures w14:val="none"/>
        </w:rPr>
        <w:t>Non vi sono interessi sostanziali, in particolare non vi sono conflitti di interesse sostanziali in relazione all'offerta al pubblico o all'ammissione alla negoziazione.</w:t>
      </w:r>
    </w:p>
    <w:sectPr w:rsidR="003F2606" w:rsidRPr="004E510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4B17" w14:textId="77777777" w:rsidR="006E00C9" w:rsidRDefault="006E00C9" w:rsidP="00815EB2">
      <w:pPr>
        <w:spacing w:after="0" w:line="240" w:lineRule="auto"/>
      </w:pPr>
      <w:r>
        <w:separator/>
      </w:r>
    </w:p>
  </w:endnote>
  <w:endnote w:type="continuationSeparator" w:id="0">
    <w:p w14:paraId="44666C52" w14:textId="77777777" w:rsidR="006E00C9" w:rsidRDefault="006E00C9" w:rsidP="0081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2B7E" w14:textId="77777777" w:rsidR="00815EB2" w:rsidRDefault="00815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883408"/>
      <w:docPartObj>
        <w:docPartGallery w:val="Page Numbers (Bottom of Page)"/>
        <w:docPartUnique/>
      </w:docPartObj>
    </w:sdtPr>
    <w:sdtEndPr>
      <w:rPr>
        <w:rStyle w:val="PageNumber"/>
        <w:rFonts w:eastAsia="MS Mincho"/>
      </w:rPr>
    </w:sdtEndPr>
    <w:sdtContent>
      <w:p w14:paraId="0B7DA612" w14:textId="77777777" w:rsidR="00815EB2" w:rsidRPr="00CD6F3C" w:rsidRDefault="00815EB2" w:rsidP="00CD6F3C">
        <w:pPr>
          <w:pStyle w:val="Footer"/>
          <w:rPr>
            <w:rStyle w:val="PageNumber"/>
            <w:rFonts w:eastAsia="MS Mincho"/>
          </w:rPr>
        </w:pPr>
        <w:r w:rsidRPr="00CD6F3C">
          <w:rPr>
            <w:rStyle w:val="PageNumber"/>
            <w:rFonts w:eastAsia="MS Mincho"/>
          </w:rPr>
          <w:t xml:space="preserve">- </w:t>
        </w:r>
        <w:r w:rsidRPr="00CD6F3C">
          <w:rPr>
            <w:rStyle w:val="PageNumber"/>
            <w:rFonts w:eastAsia="MS Mincho"/>
          </w:rPr>
          <w:fldChar w:fldCharType="begin"/>
        </w:r>
        <w:r w:rsidRPr="00CD6F3C">
          <w:rPr>
            <w:rStyle w:val="PageNumber"/>
            <w:rFonts w:eastAsia="MS Mincho"/>
          </w:rPr>
          <w:instrText xml:space="preserve"> PAGE   \* MERGEFORMAT </w:instrText>
        </w:r>
        <w:r w:rsidRPr="00CD6F3C">
          <w:rPr>
            <w:rStyle w:val="PageNumber"/>
            <w:rFonts w:eastAsia="MS Mincho"/>
          </w:rPr>
          <w:fldChar w:fldCharType="separate"/>
        </w:r>
        <w:r>
          <w:rPr>
            <w:rStyle w:val="PageNumber"/>
            <w:rFonts w:eastAsia="MS Mincho"/>
            <w:noProof/>
          </w:rPr>
          <w:t>44</w:t>
        </w:r>
        <w:r w:rsidRPr="00CD6F3C">
          <w:rPr>
            <w:rStyle w:val="PageNumber"/>
            <w:rFonts w:eastAsia="MS Mincho"/>
          </w:rPr>
          <w:fldChar w:fldCharType="end"/>
        </w:r>
        <w:r w:rsidRPr="00CD6F3C">
          <w:rPr>
            <w:rStyle w:val="PageNumber"/>
            <w:rFonts w:eastAsia="MS Mincho"/>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3E3D" w14:textId="77777777" w:rsidR="00815EB2" w:rsidRDefault="00815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2CFE" w14:textId="77777777" w:rsidR="006E00C9" w:rsidRDefault="006E00C9" w:rsidP="00815EB2">
      <w:pPr>
        <w:spacing w:after="0" w:line="240" w:lineRule="auto"/>
      </w:pPr>
      <w:r>
        <w:separator/>
      </w:r>
    </w:p>
  </w:footnote>
  <w:footnote w:type="continuationSeparator" w:id="0">
    <w:p w14:paraId="470E4548" w14:textId="77777777" w:rsidR="006E00C9" w:rsidRDefault="006E00C9" w:rsidP="00815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129E" w14:textId="77777777" w:rsidR="00815EB2" w:rsidRDefault="00815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A445" w14:textId="77777777" w:rsidR="00815EB2" w:rsidRDefault="00815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BB77" w14:textId="77777777" w:rsidR="00815EB2" w:rsidRDefault="00815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345A"/>
    <w:multiLevelType w:val="multilevel"/>
    <w:tmpl w:val="8F147632"/>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num w:numId="1" w16cid:durableId="75178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65"/>
    <w:rsid w:val="00087E37"/>
    <w:rsid w:val="000A05B7"/>
    <w:rsid w:val="000B5034"/>
    <w:rsid w:val="000F7A8F"/>
    <w:rsid w:val="0014644E"/>
    <w:rsid w:val="001705BF"/>
    <w:rsid w:val="001C3847"/>
    <w:rsid w:val="00287149"/>
    <w:rsid w:val="002C1F77"/>
    <w:rsid w:val="002F74A5"/>
    <w:rsid w:val="00347997"/>
    <w:rsid w:val="00351765"/>
    <w:rsid w:val="00385712"/>
    <w:rsid w:val="00393C11"/>
    <w:rsid w:val="003A3611"/>
    <w:rsid w:val="003F2606"/>
    <w:rsid w:val="00451573"/>
    <w:rsid w:val="00494732"/>
    <w:rsid w:val="004B5C82"/>
    <w:rsid w:val="004C1C70"/>
    <w:rsid w:val="004C6D4F"/>
    <w:rsid w:val="004E4037"/>
    <w:rsid w:val="004E5109"/>
    <w:rsid w:val="005301F1"/>
    <w:rsid w:val="005379FF"/>
    <w:rsid w:val="00584CB3"/>
    <w:rsid w:val="005B2D0D"/>
    <w:rsid w:val="005D59CE"/>
    <w:rsid w:val="005E7FFD"/>
    <w:rsid w:val="00621F2E"/>
    <w:rsid w:val="00644FF4"/>
    <w:rsid w:val="0064753C"/>
    <w:rsid w:val="00684CAA"/>
    <w:rsid w:val="006A0B65"/>
    <w:rsid w:val="006C52BB"/>
    <w:rsid w:val="006E00C9"/>
    <w:rsid w:val="0073678C"/>
    <w:rsid w:val="00740964"/>
    <w:rsid w:val="00750638"/>
    <w:rsid w:val="00775C6A"/>
    <w:rsid w:val="00792E1F"/>
    <w:rsid w:val="007B11FE"/>
    <w:rsid w:val="007E7612"/>
    <w:rsid w:val="008017EE"/>
    <w:rsid w:val="00815EB2"/>
    <w:rsid w:val="00841462"/>
    <w:rsid w:val="00887BE6"/>
    <w:rsid w:val="008A056D"/>
    <w:rsid w:val="008D5F49"/>
    <w:rsid w:val="008E3D2C"/>
    <w:rsid w:val="0090158D"/>
    <w:rsid w:val="009128D0"/>
    <w:rsid w:val="00917EE0"/>
    <w:rsid w:val="00922A1A"/>
    <w:rsid w:val="009239AD"/>
    <w:rsid w:val="009956FD"/>
    <w:rsid w:val="009B3EE1"/>
    <w:rsid w:val="00A0745F"/>
    <w:rsid w:val="00A07F5B"/>
    <w:rsid w:val="00A80A21"/>
    <w:rsid w:val="00A929B7"/>
    <w:rsid w:val="00AB35E3"/>
    <w:rsid w:val="00AB50D6"/>
    <w:rsid w:val="00AD31B1"/>
    <w:rsid w:val="00B011AF"/>
    <w:rsid w:val="00B15845"/>
    <w:rsid w:val="00B2267A"/>
    <w:rsid w:val="00BD3CB1"/>
    <w:rsid w:val="00BE5FEE"/>
    <w:rsid w:val="00C4210B"/>
    <w:rsid w:val="00C87EFF"/>
    <w:rsid w:val="00CB0985"/>
    <w:rsid w:val="00CB0A5B"/>
    <w:rsid w:val="00D26685"/>
    <w:rsid w:val="00D33490"/>
    <w:rsid w:val="00DA14BB"/>
    <w:rsid w:val="00EB00B5"/>
    <w:rsid w:val="00EF1616"/>
    <w:rsid w:val="00F1174B"/>
    <w:rsid w:val="00F22E0C"/>
    <w:rsid w:val="00F411BC"/>
    <w:rsid w:val="00F8281A"/>
    <w:rsid w:val="00F95566"/>
    <w:rsid w:val="00FD4C57"/>
    <w:rsid w:val="00FF18C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DBB0"/>
  <w15:chartTrackingRefBased/>
  <w15:docId w15:val="{3929ECB5-81F7-43A1-AB08-4567FDA6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5E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EB2"/>
    <w:rPr>
      <w:sz w:val="20"/>
      <w:szCs w:val="20"/>
    </w:rPr>
  </w:style>
  <w:style w:type="paragraph" w:styleId="Footer">
    <w:name w:val="footer"/>
    <w:basedOn w:val="Normal"/>
    <w:link w:val="FooterChar"/>
    <w:uiPriority w:val="99"/>
    <w:semiHidden/>
    <w:unhideWhenUsed/>
    <w:rsid w:val="00815EB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15EB2"/>
  </w:style>
  <w:style w:type="table" w:customStyle="1" w:styleId="TableGrid1">
    <w:name w:val="Table Grid1"/>
    <w:basedOn w:val="TableNormal"/>
    <w:next w:val="TableGrid"/>
    <w:uiPriority w:val="59"/>
    <w:rsid w:val="00815EB2"/>
    <w:pPr>
      <w:spacing w:after="0" w:line="240" w:lineRule="auto"/>
    </w:pPr>
    <w:rPr>
      <w:kern w:val="0"/>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815EB2"/>
  </w:style>
  <w:style w:type="character" w:styleId="PageNumber">
    <w:name w:val="page number"/>
    <w:basedOn w:val="DefaultParagraphFont"/>
    <w:uiPriority w:val="99"/>
    <w:semiHidden/>
    <w:unhideWhenUsed/>
    <w:rsid w:val="00815EB2"/>
  </w:style>
  <w:style w:type="paragraph" w:styleId="Header">
    <w:name w:val="header"/>
    <w:basedOn w:val="Normal"/>
    <w:link w:val="HeaderChar"/>
    <w:uiPriority w:val="99"/>
    <w:unhideWhenUsed/>
    <w:rsid w:val="00815EB2"/>
    <w:pPr>
      <w:tabs>
        <w:tab w:val="center" w:pos="4536"/>
        <w:tab w:val="right" w:pos="9072"/>
      </w:tabs>
      <w:spacing w:after="0" w:line="240" w:lineRule="auto"/>
    </w:pPr>
    <w:rPr>
      <w:kern w:val="0"/>
      <w:lang w:bidi="ar-SA"/>
      <w14:ligatures w14:val="none"/>
    </w:rPr>
  </w:style>
  <w:style w:type="character" w:customStyle="1" w:styleId="HeaderChar">
    <w:name w:val="Header Char"/>
    <w:basedOn w:val="DefaultParagraphFont"/>
    <w:link w:val="Header"/>
    <w:uiPriority w:val="99"/>
    <w:rsid w:val="00815EB2"/>
    <w:rPr>
      <w:kern w:val="0"/>
      <w:lang w:bidi="ar-SA"/>
      <w14:ligatures w14:val="none"/>
    </w:rPr>
  </w:style>
  <w:style w:type="table" w:styleId="TableGrid">
    <w:name w:val="Table Grid"/>
    <w:basedOn w:val="TableNormal"/>
    <w:uiPriority w:val="39"/>
    <w:rsid w:val="0081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5BF"/>
    <w:rPr>
      <w:color w:val="0563C1" w:themeColor="hyperlink"/>
      <w:u w:val="single"/>
    </w:rPr>
  </w:style>
  <w:style w:type="character" w:styleId="UnresolvedMention">
    <w:name w:val="Unresolved Mention"/>
    <w:basedOn w:val="DefaultParagraphFont"/>
    <w:uiPriority w:val="99"/>
    <w:semiHidden/>
    <w:unhideWhenUsed/>
    <w:rsid w:val="001705BF"/>
    <w:rPr>
      <w:color w:val="605E5C"/>
      <w:shd w:val="clear" w:color="auto" w:fill="E1DFDD"/>
    </w:rPr>
  </w:style>
  <w:style w:type="paragraph" w:styleId="Revision">
    <w:name w:val="Revision"/>
    <w:hidden/>
    <w:uiPriority w:val="99"/>
    <w:semiHidden/>
    <w:rsid w:val="00912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5173">
      <w:bodyDiv w:val="1"/>
      <w:marLeft w:val="0"/>
      <w:marRight w:val="0"/>
      <w:marTop w:val="0"/>
      <w:marBottom w:val="0"/>
      <w:divBdr>
        <w:top w:val="none" w:sz="0" w:space="0" w:color="auto"/>
        <w:left w:val="none" w:sz="0" w:space="0" w:color="auto"/>
        <w:bottom w:val="none" w:sz="0" w:space="0" w:color="auto"/>
        <w:right w:val="none" w:sz="0" w:space="0" w:color="auto"/>
      </w:divBdr>
    </w:div>
    <w:div w:id="489442041">
      <w:bodyDiv w:val="1"/>
      <w:marLeft w:val="0"/>
      <w:marRight w:val="0"/>
      <w:marTop w:val="0"/>
      <w:marBottom w:val="0"/>
      <w:divBdr>
        <w:top w:val="none" w:sz="0" w:space="0" w:color="auto"/>
        <w:left w:val="none" w:sz="0" w:space="0" w:color="auto"/>
        <w:bottom w:val="none" w:sz="0" w:space="0" w:color="auto"/>
        <w:right w:val="none" w:sz="0" w:space="0" w:color="auto"/>
      </w:divBdr>
    </w:div>
    <w:div w:id="715471406">
      <w:bodyDiv w:val="1"/>
      <w:marLeft w:val="0"/>
      <w:marRight w:val="0"/>
      <w:marTop w:val="0"/>
      <w:marBottom w:val="0"/>
      <w:divBdr>
        <w:top w:val="none" w:sz="0" w:space="0" w:color="auto"/>
        <w:left w:val="none" w:sz="0" w:space="0" w:color="auto"/>
        <w:bottom w:val="none" w:sz="0" w:space="0" w:color="auto"/>
        <w:right w:val="none" w:sz="0" w:space="0" w:color="auto"/>
      </w:divBdr>
    </w:div>
    <w:div w:id="731929667">
      <w:bodyDiv w:val="1"/>
      <w:marLeft w:val="0"/>
      <w:marRight w:val="0"/>
      <w:marTop w:val="0"/>
      <w:marBottom w:val="0"/>
      <w:divBdr>
        <w:top w:val="none" w:sz="0" w:space="0" w:color="auto"/>
        <w:left w:val="none" w:sz="0" w:space="0" w:color="auto"/>
        <w:bottom w:val="none" w:sz="0" w:space="0" w:color="auto"/>
        <w:right w:val="none" w:sz="0" w:space="0" w:color="auto"/>
      </w:divBdr>
    </w:div>
    <w:div w:id="820462151">
      <w:bodyDiv w:val="1"/>
      <w:marLeft w:val="0"/>
      <w:marRight w:val="0"/>
      <w:marTop w:val="0"/>
      <w:marBottom w:val="0"/>
      <w:divBdr>
        <w:top w:val="none" w:sz="0" w:space="0" w:color="auto"/>
        <w:left w:val="none" w:sz="0" w:space="0" w:color="auto"/>
        <w:bottom w:val="none" w:sz="0" w:space="0" w:color="auto"/>
        <w:right w:val="none" w:sz="0" w:space="0" w:color="auto"/>
      </w:divBdr>
    </w:div>
    <w:div w:id="1024525436">
      <w:bodyDiv w:val="1"/>
      <w:marLeft w:val="0"/>
      <w:marRight w:val="0"/>
      <w:marTop w:val="0"/>
      <w:marBottom w:val="0"/>
      <w:divBdr>
        <w:top w:val="none" w:sz="0" w:space="0" w:color="auto"/>
        <w:left w:val="none" w:sz="0" w:space="0" w:color="auto"/>
        <w:bottom w:val="none" w:sz="0" w:space="0" w:color="auto"/>
        <w:right w:val="none" w:sz="0" w:space="0" w:color="auto"/>
      </w:divBdr>
    </w:div>
    <w:div w:id="1078406458">
      <w:bodyDiv w:val="1"/>
      <w:marLeft w:val="0"/>
      <w:marRight w:val="0"/>
      <w:marTop w:val="0"/>
      <w:marBottom w:val="0"/>
      <w:divBdr>
        <w:top w:val="none" w:sz="0" w:space="0" w:color="auto"/>
        <w:left w:val="none" w:sz="0" w:space="0" w:color="auto"/>
        <w:bottom w:val="none" w:sz="0" w:space="0" w:color="auto"/>
        <w:right w:val="none" w:sz="0" w:space="0" w:color="auto"/>
      </w:divBdr>
    </w:div>
    <w:div w:id="1285119871">
      <w:bodyDiv w:val="1"/>
      <w:marLeft w:val="0"/>
      <w:marRight w:val="0"/>
      <w:marTop w:val="0"/>
      <w:marBottom w:val="0"/>
      <w:divBdr>
        <w:top w:val="none" w:sz="0" w:space="0" w:color="auto"/>
        <w:left w:val="none" w:sz="0" w:space="0" w:color="auto"/>
        <w:bottom w:val="none" w:sz="0" w:space="0" w:color="auto"/>
        <w:right w:val="none" w:sz="0" w:space="0" w:color="auto"/>
      </w:divBdr>
    </w:div>
    <w:div w:id="20025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ereum.org/en/et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7" ma:contentTypeDescription="Create a new document." ma:contentTypeScope="" ma:versionID="d24f666c602f23078151cd4efe2f0d6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ca3a7c838b55dbb89e89be8c3294b2a"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d9b55e-dfca-4cbb-a746-4bcb6dc9f5f4}"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69E00-B8D4-461F-965A-556B481F1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C9562-28D2-416A-95B8-88CF25238F01}">
  <ds:schemaRefs>
    <ds:schemaRef ds:uri="http://schemas.openxmlformats.org/officeDocument/2006/bibliography"/>
  </ds:schemaRefs>
</ds:datastoreItem>
</file>

<file path=customXml/itemProps3.xml><?xml version="1.0" encoding="utf-8"?>
<ds:datastoreItem xmlns:ds="http://schemas.openxmlformats.org/officeDocument/2006/customXml" ds:itemID="{3F48C974-EECE-4F08-B2D3-6E6CC67CBFE5}">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4.xml><?xml version="1.0" encoding="utf-8"?>
<ds:datastoreItem xmlns:ds="http://schemas.openxmlformats.org/officeDocument/2006/customXml" ds:itemID="{BD154D3B-9D47-4714-A854-41107396D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5427</Words>
  <Characters>30939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Karabatova, Tatiana</dc:creator>
  <cp:keywords/>
  <dc:description/>
  <cp:lastModifiedBy>Luke Sayer</cp:lastModifiedBy>
  <cp:revision>10</cp:revision>
  <dcterms:created xsi:type="dcterms:W3CDTF">2023-12-21T18:17:00Z</dcterms:created>
  <dcterms:modified xsi:type="dcterms:W3CDTF">2024-01-24T18:34:00Z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