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F109" w14:textId="3AD17273" w:rsidR="007C1676" w:rsidRPr="00E4112C" w:rsidRDefault="008423F7" w:rsidP="007C1676">
      <w:pPr>
        <w:pageBreakBefore/>
        <w:spacing w:after="180" w:line="240" w:lineRule="auto"/>
        <w:jc w:val="center"/>
        <w:outlineLvl w:val="0"/>
        <w:rPr>
          <w:rFonts w:ascii="Times New Roman" w:eastAsia="Times New Roman" w:hAnsi="Times New Roman" w:cs="Times New Roman"/>
          <w:b/>
          <w:bCs/>
          <w:caps/>
          <w:color w:val="000000"/>
          <w:kern w:val="0"/>
          <w:sz w:val="20"/>
          <w:szCs w:val="20"/>
          <w:lang w:val="es-ES" w:bidi="ar-SA"/>
          <w14:ligatures w14:val="none"/>
        </w:rPr>
      </w:pPr>
      <w:bookmarkStart w:id="0" w:name="_Hlk153296198"/>
      <w:r w:rsidRPr="00E4112C">
        <w:rPr>
          <w:rFonts w:ascii="Times New Roman" w:eastAsia="Times New Roman" w:hAnsi="Times New Roman" w:cs="Times New Roman"/>
          <w:b/>
          <w:bCs/>
          <w:caps/>
          <w:color w:val="000000"/>
          <w:kern w:val="0"/>
          <w:sz w:val="20"/>
          <w:szCs w:val="20"/>
          <w:lang w:val="es-ES" w:bidi="ar-SA"/>
          <w14:ligatures w14:val="none"/>
        </w:rPr>
        <w:t>RESUMO ESPECÍFICO DA EMISSÃO</w:t>
      </w:r>
    </w:p>
    <w:p w14:paraId="642E5053" w14:textId="5C93F41D" w:rsidR="005817DB" w:rsidRPr="00E4112C" w:rsidRDefault="009F47FC" w:rsidP="009F47FC">
      <w:pPr>
        <w:pStyle w:val="ListParagraph"/>
        <w:numPr>
          <w:ilvl w:val="1"/>
          <w:numId w:val="1"/>
        </w:numPr>
        <w:rPr>
          <w:rFonts w:ascii="Times New Roman" w:eastAsia="Times New Roman" w:hAnsi="Times New Roman" w:cs="Times New Roman"/>
          <w:b/>
          <w:bCs/>
          <w:caps/>
          <w:color w:val="000000"/>
          <w:kern w:val="0"/>
          <w:sz w:val="20"/>
          <w:szCs w:val="20"/>
          <w:lang w:val="en-US" w:bidi="ar-SA"/>
          <w14:ligatures w14:val="none"/>
        </w:rPr>
      </w:pPr>
      <w:r w:rsidRPr="00E4112C">
        <w:rPr>
          <w:rFonts w:ascii="Times New Roman" w:eastAsia="Times New Roman" w:hAnsi="Times New Roman" w:cs="Times New Roman"/>
          <w:b/>
          <w:bCs/>
          <w:caps/>
          <w:color w:val="000000"/>
          <w:kern w:val="0"/>
          <w:sz w:val="20"/>
          <w:szCs w:val="20"/>
          <w:lang w:val="en-US" w:bidi="ar-SA"/>
          <w14:ligatures w14:val="none"/>
        </w:rPr>
        <w:t>INTRODUÇÃO E ADVERTÊNCIAS</w:t>
      </w:r>
    </w:p>
    <w:p w14:paraId="74E5492F" w14:textId="19A9DBD2" w:rsidR="005817DB" w:rsidRPr="00E4112C" w:rsidRDefault="005817DB" w:rsidP="005817DB">
      <w:pPr>
        <w:keepNext/>
        <w:keepLines/>
        <w:spacing w:after="12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Este resumo diz respeito à oferta pública de obrigações garantidas (as "</w:t>
      </w:r>
      <w:r w:rsidRPr="00E4112C">
        <w:rPr>
          <w:rFonts w:ascii="Times New Roman" w:eastAsia="MS Mincho" w:hAnsi="Times New Roman" w:cs="Times New Roman"/>
          <w:b/>
          <w:bCs/>
          <w:kern w:val="0"/>
          <w:sz w:val="20"/>
          <w:szCs w:val="20"/>
          <w:lang w:val="es-ES" w:bidi="ar-SA"/>
          <w14:ligatures w14:val="none"/>
        </w:rPr>
        <w:t>Obrigações</w:t>
      </w:r>
      <w:r w:rsidRPr="00E4112C">
        <w:rPr>
          <w:rFonts w:ascii="Times New Roman" w:eastAsia="MS Mincho" w:hAnsi="Times New Roman" w:cs="Times New Roman"/>
          <w:kern w:val="0"/>
          <w:sz w:val="20"/>
          <w:szCs w:val="20"/>
          <w:lang w:val="es-ES" w:bidi="ar-SA"/>
          <w14:ligatures w14:val="none"/>
        </w:rPr>
        <w:t xml:space="preserve">") na Áustria, </w:t>
      </w:r>
      <w:r w:rsidR="006F36D7" w:rsidRPr="00E4112C">
        <w:rPr>
          <w:rFonts w:ascii="Times New Roman" w:eastAsia="MS Mincho" w:hAnsi="Times New Roman" w:cs="Times New Roman"/>
          <w:kern w:val="0"/>
          <w:sz w:val="20"/>
          <w:szCs w:val="20"/>
          <w:lang w:val="es-ES" w:bidi="ar-SA"/>
          <w14:ligatures w14:val="none"/>
        </w:rPr>
        <w:t>Rep</w:t>
      </w:r>
      <w:r w:rsidR="003F0C9B" w:rsidRPr="00E4112C">
        <w:rPr>
          <w:rFonts w:ascii="Times New Roman" w:eastAsia="MS Mincho" w:hAnsi="Times New Roman" w:cs="Times New Roman"/>
          <w:kern w:val="0"/>
          <w:sz w:val="20"/>
          <w:szCs w:val="20"/>
          <w:lang w:val="es-ES" w:bidi="ar-SA"/>
          <w14:ligatures w14:val="none"/>
        </w:rPr>
        <w:t>ública Tcheca</w:t>
      </w:r>
      <w:r w:rsidRPr="00E4112C">
        <w:rPr>
          <w:rFonts w:ascii="Times New Roman" w:eastAsia="MS Mincho" w:hAnsi="Times New Roman" w:cs="Times New Roman"/>
          <w:kern w:val="0"/>
          <w:sz w:val="20"/>
          <w:szCs w:val="20"/>
          <w:lang w:val="es-ES" w:bidi="ar-SA"/>
          <w14:ligatures w14:val="none"/>
        </w:rPr>
        <w:t xml:space="preserve">, Dinamarca, Alemanha, Irlanda, Itália, Luxemburgo, Malta, Noruega, Países Baixos, Finlândia, França, </w:t>
      </w:r>
      <w:r w:rsidR="003F0C9B" w:rsidRPr="00E4112C">
        <w:rPr>
          <w:rFonts w:ascii="Times New Roman" w:eastAsia="MS Mincho" w:hAnsi="Times New Roman" w:cs="Times New Roman"/>
          <w:kern w:val="0"/>
          <w:sz w:val="20"/>
          <w:szCs w:val="20"/>
          <w:lang w:val="es-ES" w:bidi="ar-SA"/>
          <w14:ligatures w14:val="none"/>
        </w:rPr>
        <w:t>Polônia</w:t>
      </w:r>
      <w:r w:rsidRPr="00E4112C">
        <w:rPr>
          <w:rFonts w:ascii="Times New Roman" w:eastAsia="MS Mincho" w:hAnsi="Times New Roman" w:cs="Times New Roman"/>
          <w:kern w:val="0"/>
          <w:sz w:val="20"/>
          <w:szCs w:val="20"/>
          <w:lang w:val="es-ES" w:bidi="ar-SA"/>
          <w14:ligatures w14:val="none"/>
        </w:rPr>
        <w:t>, Espanha, Suécia e Suíça e a admissão das Obrigações à negociação no mercado regulamentado (regulierter Markt) da Bolsa de Valores de Frankfurt e na SIX Swiss Exchange. O Número de Identificação Internacional de Títulos ("</w:t>
      </w:r>
      <w:r w:rsidRPr="00E4112C">
        <w:rPr>
          <w:rFonts w:ascii="Times New Roman" w:eastAsia="MS Mincho" w:hAnsi="Times New Roman" w:cs="Times New Roman"/>
          <w:b/>
          <w:bCs/>
          <w:kern w:val="0"/>
          <w:sz w:val="20"/>
          <w:szCs w:val="20"/>
          <w:lang w:val="es-ES" w:bidi="ar-SA"/>
          <w14:ligatures w14:val="none"/>
        </w:rPr>
        <w:t>ISIN</w:t>
      </w:r>
      <w:r w:rsidRPr="00E4112C">
        <w:rPr>
          <w:rFonts w:ascii="Times New Roman" w:eastAsia="MS Mincho" w:hAnsi="Times New Roman" w:cs="Times New Roman"/>
          <w:kern w:val="0"/>
          <w:sz w:val="20"/>
          <w:szCs w:val="20"/>
          <w:lang w:val="es-ES" w:bidi="ar-SA"/>
          <w14:ligatures w14:val="none"/>
        </w:rPr>
        <w:t>") das Obrigações é DE000A3G90G9.</w:t>
      </w:r>
    </w:p>
    <w:p w14:paraId="1B3596A6" w14:textId="77777777" w:rsidR="005817DB" w:rsidRPr="00E4112C" w:rsidRDefault="005817DB" w:rsidP="005817DB">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 data de aprovação do prospeto de base é 21 de novembro de 2023 (o "</w:t>
      </w:r>
      <w:r w:rsidRPr="00E4112C">
        <w:rPr>
          <w:rFonts w:ascii="Times New Roman" w:eastAsia="MS Mincho" w:hAnsi="Times New Roman" w:cs="Times New Roman"/>
          <w:b/>
          <w:bCs/>
          <w:kern w:val="0"/>
          <w:sz w:val="20"/>
          <w:szCs w:val="20"/>
          <w:lang w:val="es-ES" w:bidi="ar-SA"/>
          <w14:ligatures w14:val="none"/>
        </w:rPr>
        <w:t>Prospeto de Base</w:t>
      </w:r>
      <w:r w:rsidRPr="00E4112C">
        <w:rPr>
          <w:rFonts w:ascii="Times New Roman" w:eastAsia="MS Mincho" w:hAnsi="Times New Roman" w:cs="Times New Roman"/>
          <w:kern w:val="0"/>
          <w:sz w:val="20"/>
          <w:szCs w:val="20"/>
          <w:lang w:val="es-ES" w:bidi="ar-SA"/>
          <w14:ligatures w14:val="none"/>
        </w:rPr>
        <w:t xml:space="preserve">") e foi aprovado pela </w:t>
      </w:r>
      <w:r w:rsidRPr="00E4112C">
        <w:rPr>
          <w:rFonts w:ascii="Times New Roman" w:eastAsia="MS Mincho" w:hAnsi="Times New Roman" w:cs="Times New Roman"/>
          <w:i/>
          <w:iCs/>
          <w:kern w:val="0"/>
          <w:sz w:val="20"/>
          <w:szCs w:val="20"/>
          <w:lang w:val="es-ES" w:bidi="ar-SA"/>
          <w14:ligatures w14:val="none"/>
        </w:rPr>
        <w:t>Bundesanstalt für Finanzdienstleistungsaufsicht</w:t>
      </w:r>
      <w:r w:rsidRPr="00E4112C">
        <w:rPr>
          <w:rFonts w:ascii="Times New Roman" w:eastAsia="MS Mincho" w:hAnsi="Times New Roman" w:cs="Times New Roman"/>
          <w:kern w:val="0"/>
          <w:sz w:val="20"/>
          <w:szCs w:val="20"/>
          <w:lang w:val="es-ES" w:bidi="ar-SA"/>
          <w14:ligatures w14:val="none"/>
        </w:rPr>
        <w:t xml:space="preserve"> ("</w:t>
      </w:r>
      <w:r w:rsidRPr="00E4112C">
        <w:rPr>
          <w:rFonts w:ascii="Times New Roman" w:eastAsia="MS Mincho" w:hAnsi="Times New Roman" w:cs="Times New Roman"/>
          <w:b/>
          <w:bCs/>
          <w:kern w:val="0"/>
          <w:sz w:val="20"/>
          <w:szCs w:val="20"/>
          <w:lang w:val="es-ES" w:bidi="ar-SA"/>
          <w14:ligatures w14:val="none"/>
        </w:rPr>
        <w:t>BaFi</w:t>
      </w:r>
      <w:r w:rsidRPr="00E4112C">
        <w:rPr>
          <w:rFonts w:ascii="Times New Roman" w:eastAsia="MS Mincho" w:hAnsi="Times New Roman" w:cs="Times New Roman"/>
          <w:kern w:val="0"/>
          <w:sz w:val="20"/>
          <w:szCs w:val="20"/>
          <w:lang w:val="es-ES" w:bidi="ar-SA"/>
          <w14:ligatures w14:val="none"/>
        </w:rPr>
        <w:t>n"), Marie-Curie-Str. 24-28, 60439 Frankfurt am Main, Alemanha, endereço de correio eletrónico: poststelle@bafin.de, telefone: +49 (0)228 4108-0.</w:t>
      </w:r>
    </w:p>
    <w:p w14:paraId="71E11A78" w14:textId="75D7E9CE" w:rsidR="005817DB" w:rsidRPr="00E4112C" w:rsidRDefault="005817DB" w:rsidP="005817DB">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presente sumário deve ser lido como uma introdução ao Prospeto de Base. Qualquer decisão de investimento pelo Investidor nas Obrigações do Emitente deve ser fundamentada numa análise do Prospeto de Base como um todo. Os investidores podem perder parte ou a totalidade do capital investido nas Obrigações do Emitente. A ETC Issuance GmbH, com sede registada em Thurn- und Taxis-Platz 6, 60313 Frankfurt am Main, Alemanha (o "</w:t>
      </w:r>
      <w:r w:rsidRPr="00E4112C">
        <w:rPr>
          <w:rFonts w:ascii="Times New Roman" w:eastAsia="MS Mincho" w:hAnsi="Times New Roman" w:cs="Times New Roman"/>
          <w:b/>
          <w:bCs/>
          <w:kern w:val="0"/>
          <w:sz w:val="20"/>
          <w:szCs w:val="20"/>
          <w:lang w:val="es-ES" w:bidi="ar-SA"/>
          <w14:ligatures w14:val="none"/>
        </w:rPr>
        <w:t>Emitente</w:t>
      </w:r>
      <w:r w:rsidRPr="00E4112C">
        <w:rPr>
          <w:rFonts w:ascii="Times New Roman" w:eastAsia="MS Mincho" w:hAnsi="Times New Roman" w:cs="Times New Roman"/>
          <w:kern w:val="0"/>
          <w:sz w:val="20"/>
          <w:szCs w:val="20"/>
          <w:lang w:val="es-ES" w:bidi="ar-SA"/>
          <w14:ligatures w14:val="none"/>
        </w:rPr>
        <w:t xml:space="preserve">"), assume a responsabilidade pela informação contida no presente sumário e pela respetiva tradução para a língua alemã. O Emitente pode ser responsabilizado, mas apenas se o sumário for enganador, impreciso ou inconsistente quando lido conjuntamente com as restantes partes do Prospeto de Base ou se este não fornecer, quando lido conjuntamente com as outras partes do Prospeto de Base, informação importante para ajudar os investidores nas suas decisões de investimento em tais valores mobiliários. Caso seja apresentada em tribunal uma reclamação relacionada com a informação constante no Prospeto de Base, o investidor demandante pode, nos termos da legislação nacional dos Estados Membros do Espaço </w:t>
      </w:r>
      <w:r w:rsidR="000F1613" w:rsidRPr="00E4112C">
        <w:rPr>
          <w:rFonts w:ascii="Times New Roman" w:eastAsia="MS Mincho" w:hAnsi="Times New Roman" w:cs="Times New Roman"/>
          <w:kern w:val="0"/>
          <w:sz w:val="20"/>
          <w:szCs w:val="20"/>
          <w:lang w:val="es-ES" w:bidi="ar-SA"/>
          <w14:ligatures w14:val="none"/>
        </w:rPr>
        <w:t>Econômico</w:t>
      </w:r>
      <w:r w:rsidRPr="00E4112C">
        <w:rPr>
          <w:rFonts w:ascii="Times New Roman" w:eastAsia="MS Mincho" w:hAnsi="Times New Roman" w:cs="Times New Roman"/>
          <w:kern w:val="0"/>
          <w:sz w:val="20"/>
          <w:szCs w:val="20"/>
          <w:lang w:val="es-ES" w:bidi="ar-SA"/>
          <w14:ligatures w14:val="none"/>
        </w:rPr>
        <w:t xml:space="preserve"> Europeu, ter de suportar os custos de tradução do Prospeto de Base antes de se iniciarem os procedimentos legais.</w:t>
      </w:r>
    </w:p>
    <w:p w14:paraId="63C16853" w14:textId="77777777" w:rsidR="005817DB" w:rsidRPr="00E4112C" w:rsidRDefault="005817DB" w:rsidP="005817DB">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número de identificação de entidade legal ("</w:t>
      </w:r>
      <w:r w:rsidRPr="00E4112C">
        <w:rPr>
          <w:rFonts w:ascii="Times New Roman" w:eastAsia="MS Mincho" w:hAnsi="Times New Roman" w:cs="Times New Roman"/>
          <w:b/>
          <w:bCs/>
          <w:kern w:val="0"/>
          <w:sz w:val="20"/>
          <w:szCs w:val="20"/>
          <w:lang w:val="es-ES" w:bidi="ar-SA"/>
          <w14:ligatures w14:val="none"/>
        </w:rPr>
        <w:t>LEI</w:t>
      </w:r>
      <w:r w:rsidRPr="00E4112C">
        <w:rPr>
          <w:rFonts w:ascii="Times New Roman" w:eastAsia="MS Mincho" w:hAnsi="Times New Roman" w:cs="Times New Roman"/>
          <w:kern w:val="0"/>
          <w:sz w:val="20"/>
          <w:szCs w:val="20"/>
          <w:lang w:val="es-ES" w:bidi="ar-SA"/>
          <w14:ligatures w14:val="none"/>
        </w:rPr>
        <w:t>") do emitente é 875500BTZPKWM4X8R658.</w:t>
      </w:r>
    </w:p>
    <w:p w14:paraId="294AAD19" w14:textId="7CB04B0B" w:rsidR="005817DB" w:rsidRPr="00E4112C" w:rsidRDefault="005817DB" w:rsidP="009F47FC">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Steubing AG Wertpapierhandelsbank, com sede social em Goethestrasse 29, 60313 Frankfurt am Main, Alemanha, Identificador de Entidade Jurídica (LEI) 39120043LUI1WJS8IX30, solicitou que as Obrigações fossem admitidas à negociação no mercado regulamentado.</w:t>
      </w:r>
    </w:p>
    <w:p w14:paraId="195E6508" w14:textId="282A715B" w:rsidR="007C1676" w:rsidRPr="00E4112C" w:rsidRDefault="00C749AA" w:rsidP="00C749AA">
      <w:pPr>
        <w:pStyle w:val="ListParagraph"/>
        <w:numPr>
          <w:ilvl w:val="1"/>
          <w:numId w:val="1"/>
        </w:numPr>
        <w:rPr>
          <w:rFonts w:ascii="Times New Roman" w:eastAsia="Times New Roman" w:hAnsi="Times New Roman" w:cs="Times New Roman"/>
          <w:b/>
          <w:bCs/>
          <w:caps/>
          <w:color w:val="000000"/>
          <w:kern w:val="0"/>
          <w:sz w:val="20"/>
          <w:szCs w:val="20"/>
          <w:lang w:val="en-US" w:bidi="ar-SA"/>
          <w14:ligatures w14:val="none"/>
        </w:rPr>
      </w:pPr>
      <w:r w:rsidRPr="00E4112C">
        <w:rPr>
          <w:rFonts w:ascii="Times New Roman" w:eastAsia="Times New Roman" w:hAnsi="Times New Roman" w:cs="Times New Roman"/>
          <w:b/>
          <w:bCs/>
          <w:caps/>
          <w:color w:val="000000"/>
          <w:kern w:val="0"/>
          <w:sz w:val="20"/>
          <w:szCs w:val="20"/>
          <w:lang w:val="en-US" w:bidi="ar-SA"/>
          <w14:ligatures w14:val="none"/>
        </w:rPr>
        <w:t>INFORMAÇÃO IMPORTANTE ACERCA DO EMITENTE</w:t>
      </w:r>
    </w:p>
    <w:p w14:paraId="555690F0" w14:textId="6B53D234" w:rsidR="007C1676" w:rsidRPr="00E4112C" w:rsidRDefault="00F242B1"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E4112C">
        <w:rPr>
          <w:rFonts w:ascii="Times New Roman" w:eastAsia="Times New Roman" w:hAnsi="Times New Roman" w:cs="Times New Roman"/>
          <w:b/>
          <w:bCs/>
          <w:color w:val="000000"/>
          <w:kern w:val="0"/>
          <w:sz w:val="20"/>
          <w:szCs w:val="20"/>
          <w:lang w:val="es-ES" w:bidi="ar-SA"/>
          <w14:ligatures w14:val="none"/>
        </w:rPr>
        <w:t>Quem é o emitente dos títulos?</w:t>
      </w:r>
    </w:p>
    <w:p w14:paraId="5CAE2AA2" w14:textId="5A4E2C2F" w:rsidR="00F242B1" w:rsidRPr="00E4112C" w:rsidRDefault="000B3F7D" w:rsidP="007C1676">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A denominação legal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comercial do emitente é ETC Issuance GmbH. O número LEI do emitente é 875500BTZPKWM4X8R658. O Emitente foi constituído e desenvolve a sua atividade ao abrigo do Direito Alemão, e mantém a sua sede principal em Gridiron, One Pancras Square, Londres, N1C 4 AG, Reino Unido. O endereço e sede registada do Emitente é Thurn- und Taxis-Platz 6, 60313 Frankfurt am Main, Alemanha, e o Emitente encontra-se inscrito no registo comercial do tribunal local (</w:t>
      </w:r>
      <w:r w:rsidRPr="00E4112C">
        <w:rPr>
          <w:rFonts w:ascii="Times New Roman" w:eastAsia="MS Mincho" w:hAnsi="Times New Roman" w:cs="Times New Roman"/>
          <w:i/>
          <w:iCs/>
          <w:kern w:val="0"/>
          <w:sz w:val="20"/>
          <w:szCs w:val="20"/>
          <w:lang w:val="es-ES" w:bidi="ar-SA"/>
          <w14:ligatures w14:val="none"/>
        </w:rPr>
        <w:t>Amtsgericht</w:t>
      </w:r>
      <w:r w:rsidRPr="00E4112C">
        <w:rPr>
          <w:rFonts w:ascii="Times New Roman" w:eastAsia="MS Mincho" w:hAnsi="Times New Roman" w:cs="Times New Roman"/>
          <w:kern w:val="0"/>
          <w:sz w:val="20"/>
          <w:szCs w:val="20"/>
          <w:lang w:val="es-ES" w:bidi="ar-SA"/>
          <w14:ligatures w14:val="none"/>
        </w:rPr>
        <w:t>) de Frankfurt am Main sob o número HRB 116604. O sítio de Internet do Emitente é https://www.etc-group.com e o número de telefone é +49 69 8088 3728.</w:t>
      </w:r>
    </w:p>
    <w:p w14:paraId="150B303A" w14:textId="2B500070" w:rsidR="007C1676" w:rsidRPr="00E4112C" w:rsidRDefault="003B1DD5" w:rsidP="007C1676">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E4112C">
        <w:rPr>
          <w:rFonts w:ascii="Times New Roman" w:eastAsia="Times New Roman" w:hAnsi="Times New Roman" w:cs="Times New Roman"/>
          <w:b/>
          <w:bCs/>
          <w:iCs/>
          <w:color w:val="000000"/>
          <w:kern w:val="0"/>
          <w:sz w:val="20"/>
          <w:szCs w:val="20"/>
          <w:lang w:val="en-US" w:bidi="ar-SA"/>
          <w14:ligatures w14:val="none"/>
        </w:rPr>
        <w:t>Principais Atividades do Emitente</w:t>
      </w:r>
    </w:p>
    <w:p w14:paraId="4F7A964E" w14:textId="0920CECC" w:rsidR="005D11F0" w:rsidRPr="00E4112C" w:rsidRDefault="005D11F0" w:rsidP="005D11F0">
      <w:pPr>
        <w:spacing w:after="60" w:line="240" w:lineRule="auto"/>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 atividade principal do Emitente é a emissão de obrigações garantidas por criptomoedas e outros ativos digitais, incluindo obrigações que também preveem uma característica de staking. Nesse contexto, o Emitente utilizará os serviços de um Provedor de Staking para se envolver em atividades de staking em relação às criptomoedas recebidas pela subscrição das obrigações emitidas.</w:t>
      </w:r>
    </w:p>
    <w:p w14:paraId="74BCCCA7" w14:textId="2CE514C4" w:rsidR="005D11F0" w:rsidRPr="00E4112C" w:rsidRDefault="005D11F0" w:rsidP="005D11F0">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Emitente, através da emissão das Obrigações, pretende satisfazer a procura de títulos negociáveis que servem de veículo ao investimento em criptomoedas e outros ativos digitais.</w:t>
      </w:r>
    </w:p>
    <w:p w14:paraId="583A02AB" w14:textId="157E7BB6" w:rsidR="007C1676" w:rsidRPr="00E4112C" w:rsidRDefault="00D172A2" w:rsidP="007C1676">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E4112C">
        <w:rPr>
          <w:rFonts w:ascii="Times New Roman" w:eastAsia="Times New Roman" w:hAnsi="Times New Roman" w:cs="Times New Roman"/>
          <w:b/>
          <w:bCs/>
          <w:iCs/>
          <w:color w:val="000000"/>
          <w:kern w:val="0"/>
          <w:sz w:val="20"/>
          <w:szCs w:val="20"/>
          <w:lang w:val="en-US" w:bidi="ar-SA"/>
          <w14:ligatures w14:val="none"/>
        </w:rPr>
        <w:t>Principais acionistas</w:t>
      </w:r>
      <w:r w:rsidR="008552E9" w:rsidRPr="00E4112C">
        <w:rPr>
          <w:rFonts w:ascii="Times New Roman" w:eastAsia="Times New Roman" w:hAnsi="Times New Roman" w:cs="Times New Roman"/>
          <w:b/>
          <w:bCs/>
          <w:iCs/>
          <w:color w:val="000000"/>
          <w:kern w:val="0"/>
          <w:sz w:val="20"/>
          <w:szCs w:val="20"/>
          <w:lang w:val="en-US" w:bidi="ar-SA"/>
          <w14:ligatures w14:val="none"/>
        </w:rPr>
        <w:t xml:space="preserve"> </w:t>
      </w:r>
    </w:p>
    <w:p w14:paraId="57A87D76" w14:textId="73050C67" w:rsidR="00E95C21" w:rsidRPr="00E4112C" w:rsidRDefault="00E95C21" w:rsidP="00E95C21">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acionista único do Emitente é a ETC Management Ltd ("</w:t>
      </w:r>
      <w:r w:rsidRPr="00E4112C">
        <w:rPr>
          <w:rFonts w:ascii="Times New Roman" w:eastAsia="MS Mincho" w:hAnsi="Times New Roman" w:cs="Times New Roman"/>
          <w:b/>
          <w:bCs/>
          <w:kern w:val="0"/>
          <w:sz w:val="20"/>
          <w:szCs w:val="20"/>
          <w:lang w:val="es-ES" w:bidi="ar-SA"/>
          <w14:ligatures w14:val="none"/>
        </w:rPr>
        <w:t>ETCM</w:t>
      </w:r>
      <w:r w:rsidRPr="00E4112C">
        <w:rPr>
          <w:rFonts w:ascii="Times New Roman" w:eastAsia="MS Mincho" w:hAnsi="Times New Roman" w:cs="Times New Roman"/>
          <w:kern w:val="0"/>
          <w:sz w:val="20"/>
          <w:szCs w:val="20"/>
          <w:lang w:val="es-ES" w:bidi="ar-SA"/>
          <w14:ligatures w14:val="none"/>
        </w:rPr>
        <w:t>"). O acionista único da ETCM é a ETC Holdings Ltd (a "</w:t>
      </w:r>
      <w:r w:rsidRPr="00E4112C">
        <w:rPr>
          <w:rFonts w:ascii="Times New Roman" w:eastAsia="MS Mincho" w:hAnsi="Times New Roman" w:cs="Times New Roman"/>
          <w:b/>
          <w:bCs/>
          <w:kern w:val="0"/>
          <w:sz w:val="20"/>
          <w:szCs w:val="20"/>
          <w:lang w:val="es-ES" w:bidi="ar-SA"/>
          <w14:ligatures w14:val="none"/>
        </w:rPr>
        <w:t>Sociedade Gestora de Participações Sociais</w:t>
      </w:r>
      <w:r w:rsidRPr="00E4112C">
        <w:rPr>
          <w:rFonts w:ascii="Times New Roman" w:eastAsia="MS Mincho" w:hAnsi="Times New Roman" w:cs="Times New Roman"/>
          <w:kern w:val="0"/>
          <w:sz w:val="20"/>
          <w:szCs w:val="20"/>
          <w:lang w:val="es-ES" w:bidi="ar-SA"/>
          <w14:ligatures w14:val="none"/>
        </w:rPr>
        <w:t>"). As ações da Sociedade Gestora de Participações Sociais estão altamente concentradas: (i) XTX Investments UK Limited ("</w:t>
      </w:r>
      <w:r w:rsidRPr="00E4112C">
        <w:rPr>
          <w:rFonts w:ascii="Times New Roman" w:eastAsia="MS Mincho" w:hAnsi="Times New Roman" w:cs="Times New Roman"/>
          <w:b/>
          <w:bCs/>
          <w:kern w:val="0"/>
          <w:sz w:val="20"/>
          <w:szCs w:val="20"/>
          <w:lang w:val="es-ES" w:bidi="ar-SA"/>
          <w14:ligatures w14:val="none"/>
        </w:rPr>
        <w:t>XTX</w:t>
      </w:r>
      <w:r w:rsidRPr="00E4112C">
        <w:rPr>
          <w:rFonts w:ascii="Times New Roman" w:eastAsia="MS Mincho" w:hAnsi="Times New Roman" w:cs="Times New Roman"/>
          <w:kern w:val="0"/>
          <w:sz w:val="20"/>
          <w:szCs w:val="20"/>
          <w:lang w:val="es-ES" w:bidi="ar-SA"/>
          <w14:ligatures w14:val="none"/>
        </w:rPr>
        <w:t>") e (ii) MLM Holdings Ltd ("</w:t>
      </w:r>
      <w:r w:rsidRPr="00E4112C">
        <w:rPr>
          <w:rFonts w:ascii="Times New Roman" w:eastAsia="MS Mincho" w:hAnsi="Times New Roman" w:cs="Times New Roman"/>
          <w:b/>
          <w:bCs/>
          <w:kern w:val="0"/>
          <w:sz w:val="20"/>
          <w:szCs w:val="20"/>
          <w:lang w:val="es-ES" w:bidi="ar-SA"/>
          <w14:ligatures w14:val="none"/>
        </w:rPr>
        <w:t>MLM</w:t>
      </w:r>
      <w:r w:rsidRPr="00E4112C">
        <w:rPr>
          <w:rFonts w:ascii="Times New Roman" w:eastAsia="MS Mincho" w:hAnsi="Times New Roman" w:cs="Times New Roman"/>
          <w:kern w:val="0"/>
          <w:sz w:val="20"/>
          <w:szCs w:val="20"/>
          <w:lang w:val="es-ES" w:bidi="ar-SA"/>
          <w14:ligatures w14:val="none"/>
        </w:rPr>
        <w:t>"), que, juntas, detêm mais de 50,00 por cento dos direitos de voto.</w:t>
      </w:r>
    </w:p>
    <w:p w14:paraId="451E966D" w14:textId="40D7F72A" w:rsidR="007C1676" w:rsidRPr="00E4112C" w:rsidRDefault="009566CC" w:rsidP="007C1676">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E4112C">
        <w:rPr>
          <w:rFonts w:ascii="Times New Roman" w:eastAsia="Times New Roman" w:hAnsi="Times New Roman" w:cs="Times New Roman"/>
          <w:b/>
          <w:bCs/>
          <w:iCs/>
          <w:color w:val="000000"/>
          <w:kern w:val="0"/>
          <w:sz w:val="20"/>
          <w:szCs w:val="20"/>
          <w:lang w:val="en-US" w:bidi="ar-SA"/>
          <w14:ligatures w14:val="none"/>
        </w:rPr>
        <w:t>Principais administradores delegados</w:t>
      </w:r>
    </w:p>
    <w:p w14:paraId="417DB95A" w14:textId="470F0357" w:rsidR="007C1676" w:rsidRPr="00E4112C" w:rsidRDefault="003F0EBB" w:rsidP="007C1676">
      <w:pPr>
        <w:spacing w:after="60" w:line="240" w:lineRule="auto"/>
        <w:ind w:left="720" w:hanging="720"/>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Emitente é gerido pelos respetivos diretores executivos Leyla Sharifullina e Timothy Bevan.</w:t>
      </w:r>
    </w:p>
    <w:p w14:paraId="2C9CBACF" w14:textId="2BD92725" w:rsidR="007C1676" w:rsidRPr="00E4112C" w:rsidRDefault="00370ABB" w:rsidP="00FA17A5">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E4112C">
        <w:rPr>
          <w:rFonts w:ascii="Times New Roman" w:eastAsia="Times New Roman" w:hAnsi="Times New Roman" w:cs="Times New Roman"/>
          <w:b/>
          <w:bCs/>
          <w:iCs/>
          <w:color w:val="000000"/>
          <w:kern w:val="0"/>
          <w:sz w:val="20"/>
          <w:szCs w:val="20"/>
          <w:lang w:val="en-US" w:bidi="ar-SA"/>
          <w14:ligatures w14:val="none"/>
        </w:rPr>
        <w:t>Auditores Legais</w:t>
      </w:r>
    </w:p>
    <w:p w14:paraId="0B97C6F8" w14:textId="58767070" w:rsidR="00FA17A5" w:rsidRPr="00E4112C" w:rsidRDefault="00FA17A5" w:rsidP="00FA17A5">
      <w:pPr>
        <w:spacing w:after="60" w:line="240" w:lineRule="auto"/>
        <w:rPr>
          <w:rFonts w:ascii="Times New Roman" w:eastAsia="MS Mincho" w:hAnsi="Times New Roman" w:cs="Times New Roman"/>
          <w:kern w:val="0"/>
          <w:sz w:val="20"/>
          <w:szCs w:val="20"/>
          <w:lang w:bidi="ar-SA"/>
          <w14:ligatures w14:val="none"/>
        </w:rPr>
      </w:pPr>
      <w:r w:rsidRPr="00E4112C">
        <w:rPr>
          <w:rFonts w:ascii="Times New Roman" w:eastAsia="MS Mincho" w:hAnsi="Times New Roman" w:cs="Times New Roman"/>
          <w:kern w:val="0"/>
          <w:sz w:val="20"/>
          <w:szCs w:val="20"/>
          <w:lang w:val="en-US" w:bidi="ar-SA"/>
          <w14:ligatures w14:val="none"/>
        </w:rPr>
        <w:t xml:space="preserve">O auditor estatutário do Emitente para o ano financeiro encerrado em 31 de dezembro de 2021 foi a BFS Revisions- und Treuhand GmbH Wirtschaftsprüfungsgesellschaft, com sede social em Berliner Straße 75, 63065 </w:t>
      </w:r>
      <w:r w:rsidRPr="00E4112C">
        <w:rPr>
          <w:rFonts w:ascii="Times New Roman" w:eastAsia="MS Mincho" w:hAnsi="Times New Roman" w:cs="Times New Roman"/>
          <w:kern w:val="0"/>
          <w:sz w:val="20"/>
          <w:szCs w:val="20"/>
          <w:lang w:val="en-US" w:bidi="ar-SA"/>
          <w14:ligatures w14:val="none"/>
        </w:rPr>
        <w:lastRenderedPageBreak/>
        <w:t xml:space="preserve">Offenbach am Main, Alemanha. </w:t>
      </w:r>
      <w:r w:rsidRPr="00E4112C">
        <w:rPr>
          <w:rFonts w:ascii="Times New Roman" w:eastAsia="MS Mincho" w:hAnsi="Times New Roman" w:cs="Times New Roman"/>
          <w:kern w:val="0"/>
          <w:sz w:val="20"/>
          <w:szCs w:val="20"/>
          <w:lang w:bidi="ar-SA"/>
          <w14:ligatures w14:val="none"/>
        </w:rPr>
        <w:t>A BFS Revisions- und Treuhand GmbH Wirtschaftsprüfungsgesellschaft é membro da câmara de contabilidade pública Alemã (</w:t>
      </w:r>
      <w:r w:rsidRPr="00E4112C">
        <w:rPr>
          <w:rFonts w:ascii="Times New Roman" w:eastAsia="MS Mincho" w:hAnsi="Times New Roman" w:cs="Times New Roman"/>
          <w:i/>
          <w:iCs/>
          <w:kern w:val="0"/>
          <w:sz w:val="20"/>
          <w:szCs w:val="20"/>
          <w:lang w:bidi="ar-SA"/>
          <w14:ligatures w14:val="none"/>
        </w:rPr>
        <w:t>Wirtschaftsprüferkammer)</w:t>
      </w:r>
      <w:r w:rsidRPr="00E4112C">
        <w:rPr>
          <w:rFonts w:ascii="Times New Roman" w:eastAsia="MS Mincho" w:hAnsi="Times New Roman" w:cs="Times New Roman"/>
          <w:kern w:val="0"/>
          <w:sz w:val="20"/>
          <w:szCs w:val="20"/>
          <w:lang w:bidi="ar-SA"/>
          <w14:ligatures w14:val="none"/>
        </w:rPr>
        <w:t>.</w:t>
      </w:r>
    </w:p>
    <w:p w14:paraId="00506238" w14:textId="58B8DE3A" w:rsidR="00FA17A5" w:rsidRPr="00E4112C" w:rsidRDefault="00FA17A5" w:rsidP="00FA17A5">
      <w:pPr>
        <w:spacing w:after="60" w:line="240" w:lineRule="auto"/>
        <w:jc w:val="both"/>
        <w:rPr>
          <w:rFonts w:ascii="Times New Roman" w:eastAsia="MS Mincho" w:hAnsi="Times New Roman" w:cs="Times New Roman"/>
          <w:kern w:val="0"/>
          <w:sz w:val="20"/>
          <w:szCs w:val="20"/>
          <w:lang w:bidi="ar-SA"/>
          <w14:ligatures w14:val="none"/>
        </w:rPr>
      </w:pPr>
      <w:r w:rsidRPr="00E4112C">
        <w:rPr>
          <w:rFonts w:ascii="Times New Roman" w:eastAsia="MS Mincho" w:hAnsi="Times New Roman" w:cs="Times New Roman"/>
          <w:kern w:val="0"/>
          <w:sz w:val="20"/>
          <w:szCs w:val="20"/>
          <w:lang w:bidi="ar-SA"/>
          <w14:ligatures w14:val="none"/>
        </w:rPr>
        <w:t>Para o ano financeiro encerrado em 31 de dezembro de 2022, a Deloitte GmbH Wirtschaftsprüfungsgesellschaft, com sede social em Europa-Allee 91, 60486 Frankfurt am Main, Alemanha, são os auditores estatutários do Emitente. A Deloitte GmbH Wirtschaftsprüfungsgesellschaft é membro da câmara de contabilidade pública Alemã (</w:t>
      </w:r>
      <w:r w:rsidRPr="00E4112C">
        <w:rPr>
          <w:rFonts w:ascii="Times New Roman" w:eastAsia="MS Mincho" w:hAnsi="Times New Roman" w:cs="Times New Roman"/>
          <w:i/>
          <w:iCs/>
          <w:kern w:val="0"/>
          <w:sz w:val="20"/>
          <w:szCs w:val="20"/>
          <w:lang w:bidi="ar-SA"/>
          <w14:ligatures w14:val="none"/>
        </w:rPr>
        <w:t>Wirtschaftsprüferkammer</w:t>
      </w:r>
      <w:r w:rsidRPr="00E4112C">
        <w:rPr>
          <w:rFonts w:ascii="Times New Roman" w:eastAsia="MS Mincho" w:hAnsi="Times New Roman" w:cs="Times New Roman"/>
          <w:kern w:val="0"/>
          <w:sz w:val="20"/>
          <w:szCs w:val="20"/>
          <w:lang w:bidi="ar-SA"/>
          <w14:ligatures w14:val="none"/>
        </w:rPr>
        <w:t>).</w:t>
      </w:r>
    </w:p>
    <w:p w14:paraId="13B753D2" w14:textId="47DB0BCD" w:rsidR="007C1676" w:rsidRPr="00E4112C" w:rsidRDefault="00AA68D0"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E4112C">
        <w:rPr>
          <w:rFonts w:ascii="Times New Roman" w:eastAsia="Times New Roman" w:hAnsi="Times New Roman" w:cs="Times New Roman"/>
          <w:b/>
          <w:bCs/>
          <w:color w:val="000000"/>
          <w:kern w:val="0"/>
          <w:sz w:val="20"/>
          <w:szCs w:val="20"/>
          <w:lang w:val="es-ES" w:bidi="ar-SA"/>
          <w14:ligatures w14:val="none"/>
        </w:rPr>
        <w:t>Qual é a principal informação financeira relacionada com o emitente?</w:t>
      </w:r>
    </w:p>
    <w:p w14:paraId="44554EF4" w14:textId="77777777" w:rsidR="009B564A" w:rsidRPr="00E4112C" w:rsidRDefault="009B564A" w:rsidP="009B564A">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As informações financeiras do Emitente estão incluídas nas demonstrações financeiras anuais do Emitente de 31 de dezembro de 2021 e 31 de dezembro de 2022 (</w:t>
      </w:r>
      <w:proofErr w:type="gramStart"/>
      <w:r w:rsidRPr="00E4112C">
        <w:rPr>
          <w:rFonts w:ascii="Times New Roman" w:eastAsia="MS Mincho" w:hAnsi="Times New Roman" w:cs="Times New Roman"/>
          <w:kern w:val="0"/>
          <w:sz w:val="20"/>
          <w:szCs w:val="20"/>
          <w:lang w:val="es-ES" w:bidi="ar-SA"/>
          <w14:ligatures w14:val="none"/>
        </w:rPr>
        <w:t>em conjunto</w:t>
      </w:r>
      <w:proofErr w:type="gramEnd"/>
      <w:r w:rsidRPr="00E4112C">
        <w:rPr>
          <w:rFonts w:ascii="Times New Roman" w:eastAsia="MS Mincho" w:hAnsi="Times New Roman" w:cs="Times New Roman"/>
          <w:kern w:val="0"/>
          <w:sz w:val="20"/>
          <w:szCs w:val="20"/>
          <w:lang w:val="es-ES" w:bidi="ar-SA"/>
          <w14:ligatures w14:val="none"/>
        </w:rPr>
        <w:t>, as "</w:t>
      </w:r>
      <w:r w:rsidRPr="00E4112C">
        <w:rPr>
          <w:rFonts w:ascii="Times New Roman" w:eastAsia="MS Mincho" w:hAnsi="Times New Roman" w:cs="Times New Roman"/>
          <w:b/>
          <w:bCs/>
          <w:kern w:val="0"/>
          <w:sz w:val="20"/>
          <w:szCs w:val="20"/>
          <w:lang w:val="es-ES" w:bidi="ar-SA"/>
          <w14:ligatures w14:val="none"/>
        </w:rPr>
        <w:t>Demonstrações Financeiras Anuais</w:t>
      </w:r>
      <w:r w:rsidRPr="00E4112C">
        <w:rPr>
          <w:rFonts w:ascii="Times New Roman" w:eastAsia="MS Mincho" w:hAnsi="Times New Roman" w:cs="Times New Roman"/>
          <w:kern w:val="0"/>
          <w:sz w:val="20"/>
          <w:szCs w:val="20"/>
          <w:lang w:val="es-ES" w:bidi="ar-SA"/>
          <w14:ligatures w14:val="none"/>
        </w:rPr>
        <w:t>"), bem como nas demonstrações financeiras intercalares do Emitente de 30 de junho de 2022 e 30 de junho de 2023 (as "</w:t>
      </w:r>
      <w:r w:rsidRPr="00E4112C">
        <w:rPr>
          <w:rFonts w:ascii="Times New Roman" w:eastAsia="MS Mincho" w:hAnsi="Times New Roman" w:cs="Times New Roman"/>
          <w:b/>
          <w:bCs/>
          <w:kern w:val="0"/>
          <w:sz w:val="20"/>
          <w:szCs w:val="20"/>
          <w:lang w:val="es-ES" w:bidi="ar-SA"/>
          <w14:ligatures w14:val="none"/>
        </w:rPr>
        <w:t>Demonstrações Financeiras Intercalares</w:t>
      </w:r>
      <w:r w:rsidRPr="00E4112C">
        <w:rPr>
          <w:rFonts w:ascii="Times New Roman" w:eastAsia="MS Mincho" w:hAnsi="Times New Roman" w:cs="Times New Roman"/>
          <w:kern w:val="0"/>
          <w:sz w:val="20"/>
          <w:szCs w:val="20"/>
          <w:lang w:val="es-ES" w:bidi="ar-SA"/>
          <w14:ligatures w14:val="none"/>
        </w:rPr>
        <w:t>", e, juntamente com as Demonstrações Financeiras Anuais, as "</w:t>
      </w:r>
      <w:r w:rsidRPr="00E4112C">
        <w:rPr>
          <w:rFonts w:ascii="Times New Roman" w:eastAsia="MS Mincho" w:hAnsi="Times New Roman" w:cs="Times New Roman"/>
          <w:b/>
          <w:bCs/>
          <w:kern w:val="0"/>
          <w:sz w:val="20"/>
          <w:szCs w:val="20"/>
          <w:lang w:val="es-ES" w:bidi="ar-SA"/>
          <w14:ligatures w14:val="none"/>
        </w:rPr>
        <w:t>Demonstrações Financeiras</w:t>
      </w:r>
      <w:r w:rsidRPr="00E4112C">
        <w:rPr>
          <w:rFonts w:ascii="Times New Roman" w:eastAsia="MS Mincho" w:hAnsi="Times New Roman" w:cs="Times New Roman"/>
          <w:kern w:val="0"/>
          <w:sz w:val="20"/>
          <w:szCs w:val="20"/>
          <w:lang w:val="es-ES" w:bidi="ar-SA"/>
          <w14:ligatures w14:val="none"/>
        </w:rPr>
        <w:t>").</w:t>
      </w:r>
    </w:p>
    <w:p w14:paraId="17C2AD87" w14:textId="77777777" w:rsidR="009B564A" w:rsidRPr="00E4112C" w:rsidRDefault="009B564A" w:rsidP="009B564A">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As Demonstrações Financeiras foram preparadas de acordo com as Normas Internacionais de Relato Financeiro ("</w:t>
      </w:r>
      <w:r w:rsidRPr="00E4112C">
        <w:rPr>
          <w:rFonts w:ascii="Times New Roman" w:eastAsia="MS Mincho" w:hAnsi="Times New Roman" w:cs="Times New Roman"/>
          <w:b/>
          <w:bCs/>
          <w:kern w:val="0"/>
          <w:sz w:val="20"/>
          <w:szCs w:val="20"/>
          <w:lang w:val="es-ES" w:bidi="ar-SA"/>
          <w14:ligatures w14:val="none"/>
        </w:rPr>
        <w:t>IFRS</w:t>
      </w:r>
      <w:r w:rsidRPr="00E4112C">
        <w:rPr>
          <w:rFonts w:ascii="Times New Roman" w:eastAsia="MS Mincho" w:hAnsi="Times New Roman" w:cs="Times New Roman"/>
          <w:kern w:val="0"/>
          <w:sz w:val="20"/>
          <w:szCs w:val="20"/>
          <w:lang w:val="es-ES" w:bidi="ar-SA"/>
          <w14:ligatures w14:val="none"/>
        </w:rPr>
        <w:t>"), conforme adotadas na União Europeia (a "</w:t>
      </w:r>
      <w:r w:rsidRPr="00E4112C">
        <w:rPr>
          <w:rFonts w:ascii="Times New Roman" w:eastAsia="MS Mincho" w:hAnsi="Times New Roman" w:cs="Times New Roman"/>
          <w:b/>
          <w:bCs/>
          <w:kern w:val="0"/>
          <w:sz w:val="20"/>
          <w:szCs w:val="20"/>
          <w:lang w:val="es-ES" w:bidi="ar-SA"/>
          <w14:ligatures w14:val="none"/>
        </w:rPr>
        <w:t>UE</w:t>
      </w:r>
      <w:r w:rsidRPr="00E4112C">
        <w:rPr>
          <w:rFonts w:ascii="Times New Roman" w:eastAsia="MS Mincho" w:hAnsi="Times New Roman" w:cs="Times New Roman"/>
          <w:kern w:val="0"/>
          <w:sz w:val="20"/>
          <w:szCs w:val="20"/>
          <w:lang w:val="es-ES" w:bidi="ar-SA"/>
          <w14:ligatures w14:val="none"/>
        </w:rPr>
        <w:t>").</w:t>
      </w:r>
    </w:p>
    <w:p w14:paraId="2287C114" w14:textId="77777777" w:rsidR="009B564A" w:rsidRPr="00E4112C" w:rsidRDefault="009B564A" w:rsidP="009B564A">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As Demonstrações Financeiras Anuais foram auditadas e um relatório de auditor não qualificado foi emitido. As Demonstrações Financeiras Intercalares não foram auditadas nem revistas pelos auditores do Emitente.</w:t>
      </w:r>
    </w:p>
    <w:p w14:paraId="4D06D61C" w14:textId="77777777" w:rsidR="009B564A" w:rsidRPr="00E4112C" w:rsidRDefault="009B564A" w:rsidP="009B564A">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 seguir é apresentada informação financeira selecionada, com base nas Demonstrações Financeiras e extraída das mesmas.</w:t>
      </w:r>
    </w:p>
    <w:p w14:paraId="3788EAF9" w14:textId="77777777" w:rsidR="009B564A" w:rsidRPr="00E4112C" w:rsidRDefault="009B564A" w:rsidP="007C1676">
      <w:pPr>
        <w:spacing w:after="180" w:line="240" w:lineRule="auto"/>
        <w:jc w:val="both"/>
        <w:rPr>
          <w:rFonts w:ascii="Times New Roman" w:eastAsia="MS Mincho" w:hAnsi="Times New Roman" w:cs="Times New Roman"/>
          <w:kern w:val="0"/>
          <w:sz w:val="20"/>
          <w:szCs w:val="20"/>
          <w:lang w:val="es-ES" w:bidi="ar-SA"/>
          <w14:ligatures w14:val="none"/>
        </w:rPr>
      </w:pPr>
    </w:p>
    <w:tbl>
      <w:tblPr>
        <w:tblStyle w:val="TableGrid1"/>
        <w:tblW w:w="9049" w:type="dxa"/>
        <w:tblInd w:w="28" w:type="dxa"/>
        <w:tblLook w:val="04A0" w:firstRow="1" w:lastRow="0" w:firstColumn="1" w:lastColumn="0" w:noHBand="0" w:noVBand="1"/>
      </w:tblPr>
      <w:tblGrid>
        <w:gridCol w:w="2666"/>
        <w:gridCol w:w="1595"/>
        <w:gridCol w:w="1596"/>
        <w:gridCol w:w="1596"/>
        <w:gridCol w:w="1596"/>
      </w:tblGrid>
      <w:tr w:rsidR="007C1676" w:rsidRPr="00E4112C" w14:paraId="69F33A77" w14:textId="77777777" w:rsidTr="007C1676">
        <w:tc>
          <w:tcPr>
            <w:tcW w:w="2666" w:type="dxa"/>
            <w:tcBorders>
              <w:top w:val="nil"/>
              <w:left w:val="nil"/>
            </w:tcBorders>
          </w:tcPr>
          <w:p w14:paraId="567B6FA4" w14:textId="6008009A" w:rsidR="007C1676" w:rsidRPr="00E4112C" w:rsidRDefault="00825427" w:rsidP="00825427">
            <w:pPr>
              <w:spacing w:after="180"/>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Demonstração de Resultados</w:t>
            </w:r>
            <w:r w:rsidRPr="00E4112C">
              <w:rPr>
                <w:rFonts w:ascii="Times New Roman" w:eastAsia="Calibri" w:hAnsi="Times New Roman" w:cs="Times New Roman"/>
                <w:b/>
                <w:sz w:val="20"/>
                <w:szCs w:val="20"/>
                <w:lang w:val="es-ES"/>
              </w:rPr>
              <w:br/>
              <w:t>(em EUR)</w:t>
            </w:r>
          </w:p>
        </w:tc>
        <w:tc>
          <w:tcPr>
            <w:tcW w:w="1595" w:type="dxa"/>
            <w:shd w:val="clear" w:color="auto" w:fill="D9D9D9"/>
          </w:tcPr>
          <w:p w14:paraId="5876C62F" w14:textId="4A9CCF59" w:rsidR="007C1676" w:rsidRPr="00E4112C" w:rsidRDefault="00750309"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 xml:space="preserve">Seis meses </w:t>
            </w:r>
            <w:r w:rsidR="00BE66E8" w:rsidRPr="00E4112C">
              <w:rPr>
                <w:rFonts w:ascii="Times New Roman" w:eastAsia="Calibri" w:hAnsi="Times New Roman" w:cs="Times New Roman"/>
                <w:b/>
                <w:sz w:val="20"/>
                <w:szCs w:val="20"/>
                <w:lang w:val="es-ES"/>
              </w:rPr>
              <w:t>termin</w:t>
            </w:r>
            <w:r w:rsidR="00F87B6B" w:rsidRPr="00E4112C">
              <w:rPr>
                <w:rFonts w:ascii="Times New Roman" w:eastAsia="Calibri" w:hAnsi="Times New Roman" w:cs="Times New Roman"/>
                <w:b/>
                <w:sz w:val="20"/>
                <w:szCs w:val="20"/>
                <w:lang w:val="es-ES"/>
              </w:rPr>
              <w:t>ando em</w:t>
            </w:r>
            <w:r w:rsidR="007C1676" w:rsidRPr="00E4112C">
              <w:rPr>
                <w:rFonts w:ascii="Times New Roman" w:eastAsia="Calibri" w:hAnsi="Times New Roman" w:cs="Times New Roman"/>
                <w:b/>
                <w:sz w:val="20"/>
                <w:szCs w:val="20"/>
                <w:lang w:val="es-ES"/>
              </w:rPr>
              <w:br/>
            </w:r>
            <w:r w:rsidR="00CC7C9E"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2023</w:t>
            </w:r>
            <w:r w:rsidR="007C1676" w:rsidRPr="00E4112C">
              <w:rPr>
                <w:rFonts w:ascii="Times New Roman" w:eastAsia="Calibri" w:hAnsi="Times New Roman" w:cs="Times New Roman"/>
                <w:b/>
                <w:sz w:val="20"/>
                <w:szCs w:val="20"/>
                <w:lang w:val="es-ES"/>
              </w:rPr>
              <w:br/>
              <w:t>(</w:t>
            </w:r>
            <w:r w:rsidR="006A63DA" w:rsidRPr="00E4112C">
              <w:rPr>
                <w:rFonts w:ascii="Times New Roman" w:eastAsia="Calibri" w:hAnsi="Times New Roman" w:cs="Times New Roman"/>
                <w:b/>
                <w:sz w:val="20"/>
                <w:szCs w:val="20"/>
                <w:lang w:val="es-ES"/>
              </w:rPr>
              <w:t>não auditado</w:t>
            </w:r>
            <w:r w:rsidR="007C1676" w:rsidRPr="00E4112C">
              <w:rPr>
                <w:rFonts w:ascii="Times New Roman" w:eastAsia="Calibri" w:hAnsi="Times New Roman" w:cs="Times New Roman"/>
                <w:b/>
                <w:sz w:val="20"/>
                <w:szCs w:val="20"/>
                <w:lang w:val="es-ES"/>
              </w:rPr>
              <w:t>)</w:t>
            </w:r>
          </w:p>
        </w:tc>
        <w:tc>
          <w:tcPr>
            <w:tcW w:w="1596" w:type="dxa"/>
            <w:shd w:val="clear" w:color="auto" w:fill="D9D9D9"/>
          </w:tcPr>
          <w:p w14:paraId="5F9DF095" w14:textId="03443B0F" w:rsidR="007C1676" w:rsidRPr="00E4112C" w:rsidRDefault="00F87B6B"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Seis meses terminando em</w:t>
            </w:r>
            <w:r w:rsidR="007C1676" w:rsidRPr="00E4112C">
              <w:rPr>
                <w:rFonts w:ascii="Times New Roman" w:eastAsia="Calibri" w:hAnsi="Times New Roman" w:cs="Times New Roman"/>
                <w:b/>
                <w:sz w:val="20"/>
                <w:szCs w:val="20"/>
                <w:lang w:val="es-ES"/>
              </w:rPr>
              <w:br/>
            </w:r>
            <w:r w:rsidR="00CC7C9E"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2022</w:t>
            </w:r>
            <w:r w:rsidR="007C1676" w:rsidRPr="00E4112C">
              <w:rPr>
                <w:rFonts w:ascii="Times New Roman" w:eastAsia="Calibri" w:hAnsi="Times New Roman" w:cs="Times New Roman"/>
                <w:b/>
                <w:sz w:val="20"/>
                <w:szCs w:val="20"/>
                <w:lang w:val="es-ES"/>
              </w:rPr>
              <w:br/>
            </w:r>
            <w:r w:rsidR="006A63DA" w:rsidRPr="00E4112C">
              <w:rPr>
                <w:rFonts w:ascii="Times New Roman" w:eastAsia="Calibri" w:hAnsi="Times New Roman" w:cs="Times New Roman"/>
                <w:b/>
                <w:sz w:val="20"/>
                <w:szCs w:val="20"/>
                <w:lang w:val="es-ES"/>
              </w:rPr>
              <w:t>(não auditado)</w:t>
            </w:r>
          </w:p>
        </w:tc>
        <w:tc>
          <w:tcPr>
            <w:tcW w:w="1596" w:type="dxa"/>
            <w:shd w:val="clear" w:color="auto" w:fill="D9D9D9"/>
          </w:tcPr>
          <w:p w14:paraId="49237977" w14:textId="13A1558C" w:rsidR="007C1676" w:rsidRPr="00E4112C" w:rsidRDefault="007C1676"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2022</w:t>
            </w:r>
          </w:p>
        </w:tc>
        <w:tc>
          <w:tcPr>
            <w:tcW w:w="1596" w:type="dxa"/>
            <w:shd w:val="clear" w:color="auto" w:fill="D9D9D9"/>
          </w:tcPr>
          <w:p w14:paraId="70F7B54D" w14:textId="340C8D8A" w:rsidR="007C1676" w:rsidRPr="00E4112C" w:rsidRDefault="007C1676"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2021</w:t>
            </w:r>
          </w:p>
        </w:tc>
      </w:tr>
      <w:tr w:rsidR="007C1676" w:rsidRPr="00E4112C" w14:paraId="64F78D45" w14:textId="77777777" w:rsidTr="00377CAE">
        <w:tc>
          <w:tcPr>
            <w:tcW w:w="2666" w:type="dxa"/>
          </w:tcPr>
          <w:p w14:paraId="3316CBDC" w14:textId="0670F0DB" w:rsidR="007C1676" w:rsidRPr="00E4112C" w:rsidRDefault="005D01D0" w:rsidP="007C1676">
            <w:pPr>
              <w:spacing w:after="180"/>
              <w:rPr>
                <w:rFonts w:ascii="Times New Roman" w:eastAsia="Calibri" w:hAnsi="Times New Roman" w:cs="Times New Roman"/>
                <w:sz w:val="20"/>
                <w:szCs w:val="20"/>
              </w:rPr>
            </w:pPr>
            <w:r w:rsidRPr="00E4112C">
              <w:rPr>
                <w:rFonts w:ascii="Times New Roman" w:eastAsia="Calibri" w:hAnsi="Times New Roman" w:cs="Times New Roman"/>
                <w:sz w:val="20"/>
                <w:szCs w:val="20"/>
              </w:rPr>
              <w:t>Resultados operacionais</w:t>
            </w:r>
          </w:p>
        </w:tc>
        <w:tc>
          <w:tcPr>
            <w:tcW w:w="1595" w:type="dxa"/>
            <w:shd w:val="clear" w:color="auto" w:fill="auto"/>
          </w:tcPr>
          <w:p w14:paraId="0C978E97" w14:textId="609EA5EC"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207,540</w:t>
            </w:r>
          </w:p>
        </w:tc>
        <w:tc>
          <w:tcPr>
            <w:tcW w:w="1596" w:type="dxa"/>
            <w:shd w:val="clear" w:color="auto" w:fill="auto"/>
          </w:tcPr>
          <w:p w14:paraId="2D45FE43" w14:textId="415030D1"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280,349</w:t>
            </w:r>
          </w:p>
        </w:tc>
        <w:tc>
          <w:tcPr>
            <w:tcW w:w="1596" w:type="dxa"/>
            <w:shd w:val="clear" w:color="auto" w:fill="auto"/>
          </w:tcPr>
          <w:p w14:paraId="71382E26" w14:textId="3C6D92D9"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142,298</w:t>
            </w:r>
          </w:p>
        </w:tc>
        <w:tc>
          <w:tcPr>
            <w:tcW w:w="1596" w:type="dxa"/>
            <w:shd w:val="clear" w:color="auto" w:fill="auto"/>
          </w:tcPr>
          <w:p w14:paraId="134F5188" w14:textId="52A76F44"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109,751</w:t>
            </w:r>
          </w:p>
        </w:tc>
      </w:tr>
    </w:tbl>
    <w:p w14:paraId="07F3791F" w14:textId="77777777" w:rsidR="007C1676" w:rsidRPr="00E4112C" w:rsidRDefault="007C1676" w:rsidP="007C1676">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7C1676" w:rsidRPr="00E4112C" w14:paraId="37A6FF00" w14:textId="77777777" w:rsidTr="007C1676">
        <w:tc>
          <w:tcPr>
            <w:tcW w:w="2666" w:type="dxa"/>
            <w:tcBorders>
              <w:top w:val="nil"/>
              <w:left w:val="nil"/>
            </w:tcBorders>
          </w:tcPr>
          <w:p w14:paraId="227A40B4" w14:textId="14204C00" w:rsidR="007C1676" w:rsidRPr="00E4112C" w:rsidRDefault="001063C1" w:rsidP="001063C1">
            <w:pPr>
              <w:spacing w:after="180"/>
              <w:rPr>
                <w:rFonts w:ascii="Times New Roman" w:eastAsia="Calibri" w:hAnsi="Times New Roman" w:cs="Times New Roman"/>
                <w:b/>
                <w:sz w:val="20"/>
                <w:szCs w:val="20"/>
              </w:rPr>
            </w:pPr>
            <w:r w:rsidRPr="00E4112C">
              <w:rPr>
                <w:rFonts w:ascii="Times New Roman" w:eastAsia="Calibri" w:hAnsi="Times New Roman" w:cs="Times New Roman"/>
                <w:b/>
                <w:sz w:val="20"/>
                <w:szCs w:val="20"/>
              </w:rPr>
              <w:t xml:space="preserve">Balanço </w:t>
            </w:r>
            <w:r w:rsidRPr="00E4112C">
              <w:rPr>
                <w:rFonts w:ascii="Times New Roman" w:eastAsia="Calibri" w:hAnsi="Times New Roman" w:cs="Times New Roman"/>
                <w:b/>
                <w:sz w:val="20"/>
                <w:szCs w:val="20"/>
              </w:rPr>
              <w:br/>
              <w:t>(em EUR)</w:t>
            </w:r>
          </w:p>
        </w:tc>
        <w:tc>
          <w:tcPr>
            <w:tcW w:w="1594" w:type="dxa"/>
            <w:shd w:val="clear" w:color="auto" w:fill="D9D9D9"/>
          </w:tcPr>
          <w:p w14:paraId="4710F3D6" w14:textId="3AA733B1" w:rsidR="007C1676" w:rsidRPr="00E4112C" w:rsidRDefault="00CC7C9E"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2023</w:t>
            </w:r>
            <w:r w:rsidR="007C1676" w:rsidRPr="00E4112C">
              <w:rPr>
                <w:rFonts w:ascii="Times New Roman" w:eastAsia="Calibri" w:hAnsi="Times New Roman" w:cs="Times New Roman"/>
                <w:b/>
                <w:sz w:val="20"/>
                <w:szCs w:val="20"/>
                <w:lang w:val="es-ES"/>
              </w:rPr>
              <w:br/>
            </w:r>
            <w:r w:rsidR="006A63DA" w:rsidRPr="00E4112C">
              <w:rPr>
                <w:rFonts w:ascii="Times New Roman" w:eastAsia="Calibri" w:hAnsi="Times New Roman" w:cs="Times New Roman"/>
                <w:b/>
                <w:sz w:val="20"/>
                <w:szCs w:val="20"/>
                <w:lang w:val="es-ES"/>
              </w:rPr>
              <w:t>(não auditado)</w:t>
            </w:r>
          </w:p>
        </w:tc>
        <w:tc>
          <w:tcPr>
            <w:tcW w:w="1594" w:type="dxa"/>
            <w:shd w:val="clear" w:color="auto" w:fill="D9D9D9"/>
          </w:tcPr>
          <w:p w14:paraId="7067264A" w14:textId="5B7442EA" w:rsidR="007C1676" w:rsidRPr="00E4112C" w:rsidRDefault="00CC7C9E"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2022</w:t>
            </w:r>
            <w:r w:rsidR="007C1676" w:rsidRPr="00E4112C">
              <w:rPr>
                <w:rFonts w:ascii="Times New Roman" w:eastAsia="Calibri" w:hAnsi="Times New Roman" w:cs="Times New Roman"/>
                <w:b/>
                <w:sz w:val="20"/>
                <w:szCs w:val="20"/>
                <w:lang w:val="es-ES"/>
              </w:rPr>
              <w:br/>
            </w:r>
            <w:r w:rsidR="006A63DA" w:rsidRPr="00E4112C">
              <w:rPr>
                <w:rFonts w:ascii="Times New Roman" w:eastAsia="Calibri" w:hAnsi="Times New Roman" w:cs="Times New Roman"/>
                <w:b/>
                <w:sz w:val="20"/>
                <w:szCs w:val="20"/>
                <w:lang w:val="es-ES"/>
              </w:rPr>
              <w:t>(não auditado)</w:t>
            </w:r>
          </w:p>
        </w:tc>
        <w:tc>
          <w:tcPr>
            <w:tcW w:w="1595" w:type="dxa"/>
            <w:shd w:val="clear" w:color="auto" w:fill="D9D9D9"/>
          </w:tcPr>
          <w:p w14:paraId="4034E503" w14:textId="67B3AEAD" w:rsidR="007C1676" w:rsidRPr="00E4112C" w:rsidRDefault="0070624B"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 xml:space="preserve">31 de dezembro </w:t>
            </w:r>
            <w:r w:rsidR="007C1676" w:rsidRPr="00E4112C">
              <w:rPr>
                <w:rFonts w:ascii="Times New Roman" w:eastAsia="Calibri" w:hAnsi="Times New Roman" w:cs="Times New Roman"/>
                <w:b/>
                <w:sz w:val="20"/>
                <w:szCs w:val="20"/>
              </w:rPr>
              <w:t>2022</w:t>
            </w:r>
          </w:p>
        </w:tc>
        <w:tc>
          <w:tcPr>
            <w:tcW w:w="1595" w:type="dxa"/>
            <w:shd w:val="clear" w:color="auto" w:fill="D9D9D9"/>
          </w:tcPr>
          <w:p w14:paraId="48426EF1" w14:textId="08A64B16" w:rsidR="007C1676" w:rsidRPr="00E4112C" w:rsidRDefault="0070624B"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 xml:space="preserve">31 de dezembro </w:t>
            </w:r>
            <w:r w:rsidR="007C1676" w:rsidRPr="00E4112C">
              <w:rPr>
                <w:rFonts w:ascii="Times New Roman" w:eastAsia="Calibri" w:hAnsi="Times New Roman" w:cs="Times New Roman"/>
                <w:b/>
                <w:sz w:val="20"/>
                <w:szCs w:val="20"/>
              </w:rPr>
              <w:t>2021</w:t>
            </w:r>
          </w:p>
        </w:tc>
      </w:tr>
      <w:tr w:rsidR="007C1676" w:rsidRPr="00E4112C" w14:paraId="3D01DB4F" w14:textId="77777777" w:rsidTr="00377CAE">
        <w:tc>
          <w:tcPr>
            <w:tcW w:w="2666" w:type="dxa"/>
          </w:tcPr>
          <w:p w14:paraId="1C91689C" w14:textId="524A6E5A" w:rsidR="007C1676" w:rsidRPr="00E4112C" w:rsidRDefault="00DC6580" w:rsidP="007C1676">
            <w:pPr>
              <w:spacing w:after="180"/>
              <w:rPr>
                <w:rFonts w:ascii="Times New Roman" w:eastAsia="Calibri" w:hAnsi="Times New Roman" w:cs="Times New Roman"/>
                <w:sz w:val="20"/>
                <w:szCs w:val="20"/>
              </w:rPr>
            </w:pPr>
            <w:r w:rsidRPr="00E4112C">
              <w:rPr>
                <w:rFonts w:ascii="Times New Roman" w:eastAsia="Calibri" w:hAnsi="Times New Roman" w:cs="Times New Roman"/>
                <w:sz w:val="20"/>
                <w:szCs w:val="20"/>
              </w:rPr>
              <w:t>Dívida financeira líquida</w:t>
            </w:r>
          </w:p>
        </w:tc>
        <w:tc>
          <w:tcPr>
            <w:tcW w:w="1594" w:type="dxa"/>
          </w:tcPr>
          <w:p w14:paraId="1166F8B3" w14:textId="758B95E5"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671,474,280</w:t>
            </w:r>
          </w:p>
        </w:tc>
        <w:tc>
          <w:tcPr>
            <w:tcW w:w="1594" w:type="dxa"/>
          </w:tcPr>
          <w:p w14:paraId="365F9E34" w14:textId="4B00BCC7"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368,787,100</w:t>
            </w:r>
          </w:p>
        </w:tc>
        <w:tc>
          <w:tcPr>
            <w:tcW w:w="1595" w:type="dxa"/>
          </w:tcPr>
          <w:p w14:paraId="0D450D0E" w14:textId="7656EFE3"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297,516,002</w:t>
            </w:r>
          </w:p>
        </w:tc>
        <w:tc>
          <w:tcPr>
            <w:tcW w:w="1595" w:type="dxa"/>
          </w:tcPr>
          <w:p w14:paraId="2D129599" w14:textId="003DD041"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1,010,038,300</w:t>
            </w:r>
          </w:p>
        </w:tc>
      </w:tr>
    </w:tbl>
    <w:p w14:paraId="0B473F8B" w14:textId="77777777" w:rsidR="007C1676" w:rsidRPr="00E4112C" w:rsidRDefault="007C1676" w:rsidP="007C1676">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7C1676" w:rsidRPr="00E4112C" w14:paraId="241A5CB9" w14:textId="77777777" w:rsidTr="007C1676">
        <w:tc>
          <w:tcPr>
            <w:tcW w:w="2666" w:type="dxa"/>
            <w:tcBorders>
              <w:top w:val="nil"/>
              <w:left w:val="nil"/>
            </w:tcBorders>
          </w:tcPr>
          <w:p w14:paraId="475D62CE" w14:textId="4F8B3CF6" w:rsidR="007C1676" w:rsidRPr="00E4112C" w:rsidRDefault="008C605B" w:rsidP="008C605B">
            <w:pPr>
              <w:spacing w:after="180"/>
              <w:rPr>
                <w:rFonts w:ascii="Times New Roman" w:eastAsia="Calibri" w:hAnsi="Times New Roman" w:cs="Times New Roman"/>
                <w:b/>
                <w:sz w:val="20"/>
                <w:szCs w:val="20"/>
              </w:rPr>
            </w:pPr>
            <w:r w:rsidRPr="00E4112C">
              <w:rPr>
                <w:rFonts w:ascii="Times New Roman" w:eastAsia="Calibri" w:hAnsi="Times New Roman" w:cs="Times New Roman"/>
                <w:b/>
                <w:bCs/>
                <w:i/>
                <w:iCs/>
                <w:sz w:val="20"/>
                <w:szCs w:val="20"/>
                <w:lang w:val="pt-PT"/>
              </w:rPr>
              <w:t>Demonstração de fluxos de caixa</w:t>
            </w:r>
            <w:r w:rsidRPr="00E4112C">
              <w:rPr>
                <w:rFonts w:ascii="Times New Roman" w:eastAsia="Calibri" w:hAnsi="Times New Roman" w:cs="Times New Roman"/>
                <w:b/>
                <w:sz w:val="20"/>
                <w:szCs w:val="20"/>
                <w:lang w:val="pt-PT"/>
              </w:rPr>
              <w:br/>
            </w:r>
            <w:r w:rsidRPr="00E4112C">
              <w:rPr>
                <w:rFonts w:ascii="Times New Roman" w:eastAsia="Calibri" w:hAnsi="Times New Roman" w:cs="Times New Roman"/>
                <w:b/>
                <w:bCs/>
                <w:iCs/>
                <w:sz w:val="20"/>
                <w:szCs w:val="20"/>
                <w:lang w:val="pt-PT"/>
              </w:rPr>
              <w:t>(em EUR)</w:t>
            </w:r>
          </w:p>
        </w:tc>
        <w:tc>
          <w:tcPr>
            <w:tcW w:w="1594" w:type="dxa"/>
            <w:shd w:val="clear" w:color="auto" w:fill="D9D9D9"/>
          </w:tcPr>
          <w:p w14:paraId="64A45239" w14:textId="1B4722D0" w:rsidR="007C1676" w:rsidRPr="00E4112C" w:rsidRDefault="00F87B6B"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Seis meses terminando em</w:t>
            </w:r>
            <w:r w:rsidR="007C1676" w:rsidRPr="00E4112C">
              <w:rPr>
                <w:rFonts w:ascii="Times New Roman" w:eastAsia="Calibri" w:hAnsi="Times New Roman" w:cs="Times New Roman"/>
                <w:b/>
                <w:sz w:val="20"/>
                <w:szCs w:val="20"/>
                <w:lang w:val="es-ES"/>
              </w:rPr>
              <w:br/>
            </w:r>
            <w:r w:rsidR="00CC7C9E"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2023</w:t>
            </w:r>
            <w:r w:rsidR="007C1676" w:rsidRPr="00E4112C">
              <w:rPr>
                <w:rFonts w:ascii="Times New Roman" w:eastAsia="Calibri" w:hAnsi="Times New Roman" w:cs="Times New Roman"/>
                <w:b/>
                <w:sz w:val="20"/>
                <w:szCs w:val="20"/>
                <w:lang w:val="es-ES"/>
              </w:rPr>
              <w:br/>
            </w:r>
            <w:r w:rsidR="006A63DA" w:rsidRPr="00E4112C">
              <w:rPr>
                <w:rFonts w:ascii="Times New Roman" w:eastAsia="Calibri" w:hAnsi="Times New Roman" w:cs="Times New Roman"/>
                <w:b/>
                <w:sz w:val="20"/>
                <w:szCs w:val="20"/>
                <w:lang w:val="es-ES"/>
              </w:rPr>
              <w:t>(não auditado)</w:t>
            </w:r>
          </w:p>
        </w:tc>
        <w:tc>
          <w:tcPr>
            <w:tcW w:w="1594" w:type="dxa"/>
            <w:shd w:val="clear" w:color="auto" w:fill="D9D9D9"/>
          </w:tcPr>
          <w:p w14:paraId="0EF3494C" w14:textId="4987CC41" w:rsidR="007C1676" w:rsidRPr="00E4112C" w:rsidRDefault="00F87B6B" w:rsidP="007C1676">
            <w:pPr>
              <w:spacing w:after="180"/>
              <w:jc w:val="right"/>
              <w:rPr>
                <w:rFonts w:ascii="Times New Roman" w:eastAsia="Calibri" w:hAnsi="Times New Roman" w:cs="Times New Roman"/>
                <w:b/>
                <w:sz w:val="20"/>
                <w:szCs w:val="20"/>
                <w:lang w:val="es-ES"/>
              </w:rPr>
            </w:pPr>
            <w:r w:rsidRPr="00E4112C">
              <w:rPr>
                <w:rFonts w:ascii="Times New Roman" w:eastAsia="Calibri" w:hAnsi="Times New Roman" w:cs="Times New Roman"/>
                <w:b/>
                <w:sz w:val="20"/>
                <w:szCs w:val="20"/>
                <w:lang w:val="es-ES"/>
              </w:rPr>
              <w:t>Seis meses terminando em</w:t>
            </w:r>
            <w:r w:rsidR="007C1676" w:rsidRPr="00E4112C">
              <w:rPr>
                <w:rFonts w:ascii="Times New Roman" w:eastAsia="Calibri" w:hAnsi="Times New Roman" w:cs="Times New Roman"/>
                <w:b/>
                <w:sz w:val="20"/>
                <w:szCs w:val="20"/>
                <w:lang w:val="es-ES"/>
              </w:rPr>
              <w:br/>
            </w:r>
            <w:r w:rsidR="00CC7C9E" w:rsidRPr="00E4112C">
              <w:rPr>
                <w:rFonts w:ascii="Times New Roman" w:eastAsia="Calibri" w:hAnsi="Times New Roman" w:cs="Times New Roman"/>
                <w:b/>
                <w:sz w:val="20"/>
                <w:szCs w:val="20"/>
                <w:lang w:val="es-ES"/>
              </w:rPr>
              <w:t xml:space="preserve">30 de junho de </w:t>
            </w:r>
            <w:r w:rsidR="007C1676" w:rsidRPr="00E4112C">
              <w:rPr>
                <w:rFonts w:ascii="Times New Roman" w:eastAsia="Calibri" w:hAnsi="Times New Roman" w:cs="Times New Roman"/>
                <w:b/>
                <w:sz w:val="20"/>
                <w:szCs w:val="20"/>
                <w:lang w:val="es-ES"/>
              </w:rPr>
              <w:t>2022</w:t>
            </w:r>
            <w:r w:rsidR="007C1676" w:rsidRPr="00E4112C">
              <w:rPr>
                <w:rFonts w:ascii="Times New Roman" w:eastAsia="Calibri" w:hAnsi="Times New Roman" w:cs="Times New Roman"/>
                <w:b/>
                <w:sz w:val="20"/>
                <w:szCs w:val="20"/>
                <w:lang w:val="es-ES"/>
              </w:rPr>
              <w:br/>
            </w:r>
            <w:r w:rsidR="006A63DA" w:rsidRPr="00E4112C">
              <w:rPr>
                <w:rFonts w:ascii="Times New Roman" w:eastAsia="Calibri" w:hAnsi="Times New Roman" w:cs="Times New Roman"/>
                <w:b/>
                <w:sz w:val="20"/>
                <w:szCs w:val="20"/>
                <w:lang w:val="es-ES"/>
              </w:rPr>
              <w:t>(não auditado)</w:t>
            </w:r>
          </w:p>
        </w:tc>
        <w:tc>
          <w:tcPr>
            <w:tcW w:w="1595" w:type="dxa"/>
            <w:shd w:val="clear" w:color="auto" w:fill="D9D9D9"/>
          </w:tcPr>
          <w:p w14:paraId="264FB45D" w14:textId="4A5E6BBC" w:rsidR="007C1676" w:rsidRPr="00E4112C" w:rsidRDefault="007C1676"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2022</w:t>
            </w:r>
          </w:p>
        </w:tc>
        <w:tc>
          <w:tcPr>
            <w:tcW w:w="1595" w:type="dxa"/>
            <w:shd w:val="clear" w:color="auto" w:fill="D9D9D9"/>
          </w:tcPr>
          <w:p w14:paraId="5AC71FC3" w14:textId="3B9D24D7" w:rsidR="007C1676" w:rsidRPr="00E4112C" w:rsidRDefault="007C1676" w:rsidP="007C1676">
            <w:pPr>
              <w:spacing w:after="180"/>
              <w:jc w:val="right"/>
              <w:rPr>
                <w:rFonts w:ascii="Times New Roman" w:eastAsia="Calibri" w:hAnsi="Times New Roman" w:cs="Times New Roman"/>
                <w:b/>
                <w:sz w:val="20"/>
                <w:szCs w:val="20"/>
              </w:rPr>
            </w:pPr>
            <w:r w:rsidRPr="00E4112C">
              <w:rPr>
                <w:rFonts w:ascii="Times New Roman" w:eastAsia="Calibri" w:hAnsi="Times New Roman" w:cs="Times New Roman"/>
                <w:b/>
                <w:sz w:val="20"/>
                <w:szCs w:val="20"/>
              </w:rPr>
              <w:t>2021</w:t>
            </w:r>
          </w:p>
        </w:tc>
      </w:tr>
      <w:tr w:rsidR="007C1676" w:rsidRPr="00E4112C" w14:paraId="519428B0" w14:textId="77777777" w:rsidTr="00377CAE">
        <w:tc>
          <w:tcPr>
            <w:tcW w:w="2666" w:type="dxa"/>
          </w:tcPr>
          <w:p w14:paraId="2263F9BA" w14:textId="71B44AD0" w:rsidR="007C1676" w:rsidRPr="00E4112C" w:rsidRDefault="00191D2A" w:rsidP="007C1676">
            <w:pPr>
              <w:spacing w:after="180"/>
              <w:rPr>
                <w:rFonts w:ascii="Times New Roman" w:eastAsia="Calibri" w:hAnsi="Times New Roman" w:cs="Times New Roman"/>
                <w:sz w:val="20"/>
                <w:szCs w:val="20"/>
                <w:lang w:val="es-ES"/>
              </w:rPr>
            </w:pPr>
            <w:r w:rsidRPr="00E4112C">
              <w:rPr>
                <w:rFonts w:ascii="Times New Roman" w:eastAsia="Calibri" w:hAnsi="Times New Roman" w:cs="Times New Roman"/>
                <w:sz w:val="20"/>
                <w:szCs w:val="20"/>
                <w:lang w:val="es-ES"/>
              </w:rPr>
              <w:t>Fluxos de caixa líquidos de atividades operacionais</w:t>
            </w:r>
          </w:p>
        </w:tc>
        <w:tc>
          <w:tcPr>
            <w:tcW w:w="1594" w:type="dxa"/>
          </w:tcPr>
          <w:p w14:paraId="70702A36" w14:textId="169B10AB"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595,547</w:t>
            </w:r>
          </w:p>
        </w:tc>
        <w:tc>
          <w:tcPr>
            <w:tcW w:w="1594" w:type="dxa"/>
          </w:tcPr>
          <w:p w14:paraId="1A104B10" w14:textId="55DB2B50"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-1,642,140</w:t>
            </w:r>
          </w:p>
        </w:tc>
        <w:tc>
          <w:tcPr>
            <w:tcW w:w="1595" w:type="dxa"/>
          </w:tcPr>
          <w:p w14:paraId="7E1C5896" w14:textId="541988EF"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-3,257,493</w:t>
            </w:r>
          </w:p>
        </w:tc>
        <w:tc>
          <w:tcPr>
            <w:tcW w:w="1595" w:type="dxa"/>
          </w:tcPr>
          <w:p w14:paraId="207F600A" w14:textId="72A70FBD"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3,490,039</w:t>
            </w:r>
          </w:p>
        </w:tc>
      </w:tr>
      <w:tr w:rsidR="007C1676" w:rsidRPr="00E4112C" w14:paraId="27B3D277" w14:textId="77777777" w:rsidTr="00377CAE">
        <w:tc>
          <w:tcPr>
            <w:tcW w:w="2666" w:type="dxa"/>
          </w:tcPr>
          <w:p w14:paraId="3BE9C599" w14:textId="3DB6CC57" w:rsidR="007C1676" w:rsidRPr="00E4112C" w:rsidRDefault="00E12196" w:rsidP="007C1676">
            <w:pPr>
              <w:spacing w:after="180"/>
              <w:rPr>
                <w:rFonts w:ascii="Times New Roman" w:eastAsia="Calibri" w:hAnsi="Times New Roman" w:cs="Times New Roman"/>
                <w:sz w:val="20"/>
                <w:szCs w:val="20"/>
                <w:lang w:val="es-ES"/>
              </w:rPr>
            </w:pPr>
            <w:r w:rsidRPr="00E4112C">
              <w:rPr>
                <w:rFonts w:ascii="Times New Roman" w:eastAsia="Calibri" w:hAnsi="Times New Roman" w:cs="Times New Roman"/>
                <w:sz w:val="20"/>
                <w:szCs w:val="20"/>
                <w:lang w:val="es-ES"/>
              </w:rPr>
              <w:t>Fluxos de caixa líquidos de atividades financeiras</w:t>
            </w:r>
          </w:p>
        </w:tc>
        <w:tc>
          <w:tcPr>
            <w:tcW w:w="1594" w:type="dxa"/>
          </w:tcPr>
          <w:p w14:paraId="124E5A5F" w14:textId="0E13BA7A"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4" w:type="dxa"/>
          </w:tcPr>
          <w:p w14:paraId="62EDB58B" w14:textId="25E594B1"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5" w:type="dxa"/>
          </w:tcPr>
          <w:p w14:paraId="545A76D4" w14:textId="738610E1"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5" w:type="dxa"/>
          </w:tcPr>
          <w:p w14:paraId="2D8D7AFC" w14:textId="77777777"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r>
      <w:tr w:rsidR="007C1676" w:rsidRPr="00E4112C" w14:paraId="6C0B1D4A" w14:textId="77777777" w:rsidTr="00377CAE">
        <w:tc>
          <w:tcPr>
            <w:tcW w:w="2666" w:type="dxa"/>
          </w:tcPr>
          <w:p w14:paraId="389DEC8F" w14:textId="7BFC98D6" w:rsidR="007C1676" w:rsidRPr="00E4112C" w:rsidRDefault="0011301F" w:rsidP="007C1676">
            <w:pPr>
              <w:spacing w:after="180"/>
              <w:rPr>
                <w:rFonts w:ascii="Times New Roman" w:eastAsia="Calibri" w:hAnsi="Times New Roman" w:cs="Times New Roman"/>
                <w:sz w:val="20"/>
                <w:szCs w:val="20"/>
                <w:lang w:val="es-ES"/>
              </w:rPr>
            </w:pPr>
            <w:r w:rsidRPr="00E4112C">
              <w:rPr>
                <w:rFonts w:ascii="Times New Roman" w:eastAsia="Calibri" w:hAnsi="Times New Roman" w:cs="Times New Roman"/>
                <w:sz w:val="20"/>
                <w:szCs w:val="20"/>
                <w:lang w:val="es-ES"/>
              </w:rPr>
              <w:t>Fluxos de caixa líquidos de atividades de investimento</w:t>
            </w:r>
          </w:p>
        </w:tc>
        <w:tc>
          <w:tcPr>
            <w:tcW w:w="1594" w:type="dxa"/>
          </w:tcPr>
          <w:p w14:paraId="1D88EED0" w14:textId="79428BFC"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4" w:type="dxa"/>
          </w:tcPr>
          <w:p w14:paraId="293E5245" w14:textId="09013351"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5" w:type="dxa"/>
          </w:tcPr>
          <w:p w14:paraId="56E6D717" w14:textId="77777777"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c>
          <w:tcPr>
            <w:tcW w:w="1595" w:type="dxa"/>
          </w:tcPr>
          <w:p w14:paraId="70D665C5" w14:textId="77777777" w:rsidR="007C1676" w:rsidRPr="00E4112C" w:rsidRDefault="007C1676" w:rsidP="007C1676">
            <w:pPr>
              <w:spacing w:after="180"/>
              <w:jc w:val="right"/>
              <w:rPr>
                <w:rFonts w:ascii="Times New Roman" w:eastAsia="Calibri" w:hAnsi="Times New Roman" w:cs="Times New Roman"/>
                <w:sz w:val="20"/>
                <w:szCs w:val="20"/>
              </w:rPr>
            </w:pPr>
            <w:r w:rsidRPr="00E4112C">
              <w:rPr>
                <w:rFonts w:ascii="Times New Roman" w:eastAsia="Calibri" w:hAnsi="Times New Roman" w:cs="Times New Roman"/>
                <w:sz w:val="20"/>
                <w:szCs w:val="20"/>
              </w:rPr>
              <w:t>0</w:t>
            </w:r>
          </w:p>
        </w:tc>
      </w:tr>
    </w:tbl>
    <w:p w14:paraId="016FA14A" w14:textId="77777777" w:rsidR="007C1676" w:rsidRPr="00E4112C" w:rsidRDefault="007C1676" w:rsidP="007C1676">
      <w:pPr>
        <w:spacing w:after="0" w:line="240" w:lineRule="auto"/>
        <w:ind w:left="720"/>
        <w:jc w:val="both"/>
        <w:rPr>
          <w:rFonts w:ascii="Times New Roman" w:eastAsia="MS Mincho" w:hAnsi="Times New Roman" w:cs="Times New Roman"/>
          <w:kern w:val="0"/>
          <w:sz w:val="20"/>
          <w:szCs w:val="20"/>
          <w:lang w:val="en-US" w:bidi="ar-SA"/>
          <w14:ligatures w14:val="none"/>
        </w:rPr>
      </w:pPr>
    </w:p>
    <w:p w14:paraId="328B3BAC" w14:textId="473C54A3" w:rsidR="007C1676" w:rsidRPr="00E4112C" w:rsidRDefault="00DD1DBC"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E4112C">
        <w:rPr>
          <w:rFonts w:ascii="Times New Roman" w:eastAsia="Times New Roman" w:hAnsi="Times New Roman" w:cs="Times New Roman"/>
          <w:b/>
          <w:bCs/>
          <w:color w:val="000000"/>
          <w:kern w:val="0"/>
          <w:sz w:val="20"/>
          <w:szCs w:val="20"/>
          <w:lang w:val="es-ES" w:bidi="ar-SA"/>
          <w14:ligatures w14:val="none"/>
        </w:rPr>
        <w:t>Quais são os principais riscos específicos do emitente</w:t>
      </w:r>
      <w:r w:rsidR="007C1676" w:rsidRPr="00E4112C">
        <w:rPr>
          <w:rFonts w:ascii="Times New Roman" w:eastAsia="Times New Roman" w:hAnsi="Times New Roman" w:cs="Times New Roman"/>
          <w:b/>
          <w:bCs/>
          <w:color w:val="000000"/>
          <w:kern w:val="0"/>
          <w:sz w:val="20"/>
          <w:szCs w:val="20"/>
          <w:lang w:val="es-ES" w:bidi="ar-SA"/>
          <w14:ligatures w14:val="none"/>
        </w:rPr>
        <w:t>?</w:t>
      </w:r>
    </w:p>
    <w:p w14:paraId="54D0A033" w14:textId="77777777" w:rsidR="00B86F88" w:rsidRPr="00E4112C" w:rsidRDefault="00B86F88" w:rsidP="00B86F88">
      <w:pPr>
        <w:spacing w:after="60" w:line="240" w:lineRule="auto"/>
        <w:rPr>
          <w:rFonts w:ascii="Times New Roman" w:eastAsia="MS Mincho" w:hAnsi="Times New Roman" w:cs="Times New Roman"/>
          <w:i/>
          <w:iCs/>
          <w:kern w:val="0"/>
          <w:sz w:val="20"/>
          <w:szCs w:val="20"/>
          <w:lang w:val="es-ES" w:bidi="ar-SA"/>
          <w14:ligatures w14:val="none"/>
        </w:rPr>
      </w:pPr>
      <w:r w:rsidRPr="00E4112C">
        <w:rPr>
          <w:rFonts w:ascii="Times New Roman" w:eastAsia="MS Mincho" w:hAnsi="Times New Roman" w:cs="Times New Roman"/>
          <w:i/>
          <w:iCs/>
          <w:kern w:val="0"/>
          <w:sz w:val="20"/>
          <w:szCs w:val="20"/>
          <w:lang w:val="es-ES" w:bidi="ar-SA"/>
          <w14:ligatures w14:val="none"/>
        </w:rPr>
        <w:t>Os seguintes fatores de risco são materiais no que diz respeito à capacidade do Emitente de cumprir suas obrigações sob as Obrigações emitidas por ele.</w:t>
      </w:r>
    </w:p>
    <w:p w14:paraId="629EA9AE" w14:textId="77777777" w:rsidR="00B86F88" w:rsidRPr="00E4112C" w:rsidRDefault="00B86F88" w:rsidP="00B86F88">
      <w:pPr>
        <w:spacing w:after="60" w:line="240" w:lineRule="auto"/>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Riscos relacionados com o objetivo de negócio limitado do Emitente:</w:t>
      </w:r>
      <w:r w:rsidRPr="00E4112C">
        <w:rPr>
          <w:rFonts w:ascii="Times New Roman" w:eastAsia="MS Mincho" w:hAnsi="Times New Roman" w:cs="Times New Roman"/>
          <w:kern w:val="0"/>
          <w:sz w:val="20"/>
          <w:szCs w:val="20"/>
          <w:lang w:val="es-ES" w:bidi="ar-SA"/>
          <w14:ligatures w14:val="none"/>
        </w:rPr>
        <w:t xml:space="preserve"> O foco das atividades comerciais do Emitente é a emissão de obrigações vinculadas à Criptomoeda, bem como a realização de contribuição de Criptomoeda para a rede subjacente relevante com o propósito de facilitar, validar e aprovar transações nessa rede relacionadas à Criptomoeda ("</w:t>
      </w:r>
      <w:r w:rsidRPr="00E4112C">
        <w:rPr>
          <w:rFonts w:ascii="Times New Roman" w:eastAsia="MS Mincho" w:hAnsi="Times New Roman" w:cs="Times New Roman"/>
          <w:b/>
          <w:bCs/>
          <w:kern w:val="0"/>
          <w:sz w:val="20"/>
          <w:szCs w:val="20"/>
          <w:lang w:val="es-ES" w:bidi="ar-SA"/>
          <w14:ligatures w14:val="none"/>
        </w:rPr>
        <w:t>Staking</w:t>
      </w:r>
      <w:r w:rsidRPr="00E4112C">
        <w:rPr>
          <w:rFonts w:ascii="Times New Roman" w:eastAsia="MS Mincho" w:hAnsi="Times New Roman" w:cs="Times New Roman"/>
          <w:kern w:val="0"/>
          <w:sz w:val="20"/>
          <w:szCs w:val="20"/>
          <w:lang w:val="es-ES" w:bidi="ar-SA"/>
          <w14:ligatures w14:val="none"/>
        </w:rPr>
        <w:t>"). O Emitente não realizará nenhum outro negócio além do descrito acima (vide alínea “</w:t>
      </w:r>
      <w:r w:rsidRPr="00E4112C">
        <w:rPr>
          <w:rFonts w:ascii="Times New Roman" w:eastAsia="MS Mincho" w:hAnsi="Times New Roman" w:cs="Times New Roman"/>
          <w:i/>
          <w:iCs/>
          <w:kern w:val="0"/>
          <w:sz w:val="20"/>
          <w:szCs w:val="20"/>
          <w:lang w:val="es-ES" w:bidi="ar-SA"/>
          <w14:ligatures w14:val="none"/>
        </w:rPr>
        <w:t>1.2.1.1. Principais atividades do Emitente</w:t>
      </w:r>
      <w:r w:rsidRPr="00E4112C">
        <w:rPr>
          <w:rFonts w:ascii="Times New Roman" w:eastAsia="MS Mincho" w:hAnsi="Times New Roman" w:cs="Times New Roman"/>
          <w:kern w:val="0"/>
          <w:sz w:val="20"/>
          <w:szCs w:val="20"/>
          <w:lang w:val="es-ES" w:bidi="ar-SA"/>
          <w14:ligatures w14:val="none"/>
        </w:rPr>
        <w:t>"). Devido a esse objetivo de negócio limitado, o Emitente está exposto ao risco de a Criptomoeda subjacente não se tornar bem-sucedida ou se tornar menos bem-</w:t>
      </w:r>
      <w:r w:rsidRPr="00E4112C">
        <w:rPr>
          <w:rFonts w:ascii="Times New Roman" w:eastAsia="MS Mincho" w:hAnsi="Times New Roman" w:cs="Times New Roman"/>
          <w:kern w:val="0"/>
          <w:sz w:val="20"/>
          <w:szCs w:val="20"/>
          <w:lang w:val="es-ES" w:bidi="ar-SA"/>
          <w14:ligatures w14:val="none"/>
        </w:rPr>
        <w:lastRenderedPageBreak/>
        <w:t>sucedida. O Emitente pode então ser mal-sucedido na realização de seu negócio, o que poderia ter um impacto adverso na situação comercial e financeira do Emitente.</w:t>
      </w:r>
    </w:p>
    <w:p w14:paraId="7BE05A4A" w14:textId="77777777" w:rsidR="00B86F88" w:rsidRPr="00E4112C" w:rsidRDefault="00B86F88" w:rsidP="00B86F88">
      <w:pPr>
        <w:spacing w:after="60" w:line="240" w:lineRule="auto"/>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Riscos devido ao Emitente não ter um histórico longo e abrangente:</w:t>
      </w:r>
      <w:r w:rsidRPr="00E4112C">
        <w:rPr>
          <w:rFonts w:ascii="Times New Roman" w:eastAsia="MS Mincho" w:hAnsi="Times New Roman" w:cs="Times New Roman"/>
          <w:kern w:val="0"/>
          <w:sz w:val="20"/>
          <w:szCs w:val="20"/>
          <w:lang w:val="es-ES" w:bidi="ar-SA"/>
          <w14:ligatures w14:val="none"/>
        </w:rPr>
        <w:t xml:space="preserve"> O Emitente foi registrado no registro comercial do tribunal local (</w:t>
      </w:r>
      <w:r w:rsidRPr="00E4112C">
        <w:rPr>
          <w:rFonts w:ascii="Times New Roman" w:eastAsia="MS Mincho" w:hAnsi="Times New Roman" w:cs="Times New Roman"/>
          <w:i/>
          <w:iCs/>
          <w:kern w:val="0"/>
          <w:sz w:val="20"/>
          <w:szCs w:val="20"/>
          <w:lang w:val="es-ES" w:bidi="ar-SA"/>
          <w14:ligatures w14:val="none"/>
        </w:rPr>
        <w:t>Amtsgericht</w:t>
      </w:r>
      <w:r w:rsidRPr="00E4112C">
        <w:rPr>
          <w:rFonts w:ascii="Times New Roman" w:eastAsia="MS Mincho" w:hAnsi="Times New Roman" w:cs="Times New Roman"/>
          <w:kern w:val="0"/>
          <w:sz w:val="20"/>
          <w:szCs w:val="20"/>
          <w:lang w:val="es-ES" w:bidi="ar-SA"/>
          <w14:ligatures w14:val="none"/>
        </w:rPr>
        <w:t>) de Frankfurt am Main, Alemanha, em 27 de agosto de 2019. Devido a esse curto período de existência, o Emitente não tem um histórico longo e abrangente de operar com sucesso a atividade comercial aqui descrita, aumentando os riscos comerciais que poderiam ter um impacto adverso na situação comercial e financeira do Emitente.</w:t>
      </w:r>
    </w:p>
    <w:p w14:paraId="61799924" w14:textId="68F4C02B" w:rsidR="00B86F88" w:rsidRPr="00E4112C" w:rsidRDefault="00B86F88" w:rsidP="00B86F88">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Principais acionistas:</w:t>
      </w:r>
      <w:r w:rsidRPr="00E4112C">
        <w:rPr>
          <w:rFonts w:ascii="Times New Roman" w:eastAsia="MS Mincho" w:hAnsi="Times New Roman" w:cs="Times New Roman"/>
          <w:kern w:val="0"/>
          <w:sz w:val="20"/>
          <w:szCs w:val="20"/>
          <w:lang w:val="es-ES" w:bidi="ar-SA"/>
          <w14:ligatures w14:val="none"/>
        </w:rPr>
        <w:t xml:space="preserve"> As ações da Sociedade Gestora de Participações Sociais estão altamente concentradas; (i) XTX e (ii) MLM, que, juntas, detêm mais de 50,00 por cento dos direitos de voto. Esses acionistas ou seus representantes têm a capacidade de remover todos os membros do conselho de administração do Emitente com um voto de maioria. Como tal, esses acionistas têm influência significativa na gestão do Emitente. Não há garantia de que esses acionistas ou seus representantes exercerão seu direito de voto de uma maneira que beneficie o Emitente ou os investidores.</w:t>
      </w:r>
    </w:p>
    <w:p w14:paraId="30F5F87E" w14:textId="0B11CC4A" w:rsidR="00EA435E" w:rsidRPr="00E4112C" w:rsidRDefault="00EA435E" w:rsidP="00EA435E">
      <w:pPr>
        <w:spacing w:after="12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Dependência de autorizaçõe</w:t>
      </w:r>
      <w:r w:rsidR="00C95D46" w:rsidRPr="00E4112C">
        <w:rPr>
          <w:rFonts w:ascii="Times New Roman" w:eastAsia="MS Mincho" w:hAnsi="Times New Roman" w:cs="Times New Roman"/>
          <w:b/>
          <w:bCs/>
          <w:i/>
          <w:iCs/>
          <w:kern w:val="0"/>
          <w:sz w:val="20"/>
          <w:szCs w:val="20"/>
          <w:lang w:val="es-ES" w:bidi="ar-SA"/>
          <w14:ligatures w14:val="none"/>
        </w:rPr>
        <w:t>s</w:t>
      </w:r>
      <w:r w:rsidRPr="00E4112C">
        <w:rPr>
          <w:rFonts w:ascii="Times New Roman" w:eastAsia="MS Mincho" w:hAnsi="Times New Roman" w:cs="Times New Roman"/>
          <w:b/>
          <w:bCs/>
          <w:i/>
          <w:iCs/>
          <w:kern w:val="0"/>
          <w:sz w:val="20"/>
          <w:szCs w:val="20"/>
          <w:lang w:val="es-ES" w:bidi="ar-SA"/>
          <w14:ligatures w14:val="none"/>
        </w:rPr>
        <w:t>:</w:t>
      </w:r>
      <w:r w:rsidRPr="00E4112C">
        <w:rPr>
          <w:rFonts w:ascii="Times New Roman" w:eastAsia="MS Mincho" w:hAnsi="Times New Roman" w:cs="Times New Roman"/>
          <w:kern w:val="0"/>
          <w:sz w:val="20"/>
          <w:szCs w:val="20"/>
          <w:lang w:val="es-ES" w:bidi="ar-SA"/>
          <w14:ligatures w14:val="none"/>
        </w:rPr>
        <w:t xml:space="preserve"> O Emitente depende da autorização da Bolsa de Valores de Frankfurt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da permissibilidade sob as regras e regulamentos da Alemanha para continuar emitindo e listando as Obrigações. Qualquer mudança nos requisitos de listagem, na regulamentação das Obrigações, ou na aceitação de criptomoeda como ativo subjacente, pode impactar negativamente o Emitente e os investidores nas Obrigações.</w:t>
      </w:r>
    </w:p>
    <w:p w14:paraId="221D581D" w14:textId="161CA4F2" w:rsidR="00EA435E" w:rsidRPr="00E4112C" w:rsidRDefault="00EA435E" w:rsidP="00EA435E">
      <w:pPr>
        <w:spacing w:after="12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Ataques de "hackers" e sabotagem de fora do Emitente:</w:t>
      </w:r>
      <w:r w:rsidRPr="00E4112C">
        <w:rPr>
          <w:rFonts w:ascii="Times New Roman" w:eastAsia="MS Mincho" w:hAnsi="Times New Roman" w:cs="Times New Roman"/>
          <w:kern w:val="0"/>
          <w:sz w:val="20"/>
          <w:szCs w:val="20"/>
          <w:lang w:val="es-ES" w:bidi="ar-SA"/>
          <w14:ligatures w14:val="none"/>
        </w:rPr>
        <w:t xml:space="preserve"> Todo o negócio do Emitente depende de uma certa infraestrutura de TI. Além disso, os prestadores de serviços (por exemplo, o Administrador, o Agente de Pagamento e o Sistema de Compensação) também dependem de sistemas de TI para fornecer serviços ao Emitente. Tanto os sistemas de TI do Emitente quanto os sistemas de TI desses prestadores de serviços podem ser invadidos por criminosos. O Emitente está exposto ao risco de ser parcial, temporária ou mesmo permanentemente impedido de realizar suas atividades comerciais e até se tornar insolvente, e os detentores das Obrigações (os "Titulares das Obrigações") podem perder parte ou todo o seu investimento nas Obrigações devido a tal violação de segurança.</w:t>
      </w:r>
    </w:p>
    <w:p w14:paraId="47495F08" w14:textId="708871FE" w:rsidR="007C1676" w:rsidRPr="00E4112C" w:rsidRDefault="000A224F" w:rsidP="007C1676">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E4112C">
        <w:rPr>
          <w:rFonts w:ascii="Times New Roman" w:eastAsia="Times New Roman" w:hAnsi="Times New Roman" w:cs="Times New Roman"/>
          <w:b/>
          <w:bCs/>
          <w:caps/>
          <w:color w:val="000000"/>
          <w:kern w:val="0"/>
          <w:sz w:val="20"/>
          <w:szCs w:val="20"/>
          <w:lang w:val="es-ES" w:bidi="ar-SA"/>
          <w14:ligatures w14:val="none"/>
        </w:rPr>
        <w:t>INFORMAÇÃO IMPORTANTE ACERCA DAS OBRIGAÇÕES</w:t>
      </w:r>
    </w:p>
    <w:p w14:paraId="64CF9CA2" w14:textId="42917C26" w:rsidR="007C1676" w:rsidRPr="00E4112C" w:rsidRDefault="004F26E2"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E4112C">
        <w:rPr>
          <w:rFonts w:ascii="Times New Roman" w:eastAsia="Times New Roman" w:hAnsi="Times New Roman" w:cs="Times New Roman"/>
          <w:b/>
          <w:bCs/>
          <w:color w:val="000000"/>
          <w:kern w:val="0"/>
          <w:sz w:val="20"/>
          <w:szCs w:val="20"/>
          <w:lang w:val="es-ES" w:bidi="ar-SA"/>
          <w14:ligatures w14:val="none"/>
        </w:rPr>
        <w:t>Quais são as principais características dos títulos?</w:t>
      </w:r>
    </w:p>
    <w:p w14:paraId="1D2FA583" w14:textId="54EEBCCF" w:rsidR="00DE27B5" w:rsidRPr="00E4112C" w:rsidRDefault="00DE27B5" w:rsidP="007C1676">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As Obrigações são obrigações garantidas. As Obrigações não têm uma data de vencimento fixa. As Obrigações não geram juros. Cada Obrigação representa o direito do Titular das Obrigações de exigir do Emitente (a) a entrega de Ethereum ("</w:t>
      </w:r>
      <w:r w:rsidRPr="00E4112C">
        <w:rPr>
          <w:rFonts w:ascii="Times New Roman" w:eastAsia="MS Mincho" w:hAnsi="Times New Roman" w:cs="Times New Roman"/>
          <w:b/>
          <w:bCs/>
          <w:kern w:val="0"/>
          <w:sz w:val="20"/>
          <w:szCs w:val="20"/>
          <w:lang w:val="es-ES" w:bidi="ar-SA"/>
          <w14:ligatures w14:val="none"/>
        </w:rPr>
        <w:t>ETH</w:t>
      </w:r>
      <w:r w:rsidRPr="00E4112C">
        <w:rPr>
          <w:rFonts w:ascii="Times New Roman" w:eastAsia="MS Mincho" w:hAnsi="Times New Roman" w:cs="Times New Roman"/>
          <w:kern w:val="0"/>
          <w:sz w:val="20"/>
          <w:szCs w:val="20"/>
          <w:lang w:val="es-ES" w:bidi="ar-SA"/>
          <w14:ligatures w14:val="none"/>
        </w:rPr>
        <w:t>" ou "</w:t>
      </w:r>
      <w:r w:rsidRPr="00E4112C">
        <w:rPr>
          <w:rFonts w:ascii="Times New Roman" w:eastAsia="MS Mincho" w:hAnsi="Times New Roman" w:cs="Times New Roman"/>
          <w:b/>
          <w:bCs/>
          <w:kern w:val="0"/>
          <w:sz w:val="20"/>
          <w:szCs w:val="20"/>
          <w:lang w:val="es-ES" w:bidi="ar-SA"/>
          <w14:ligatures w14:val="none"/>
        </w:rPr>
        <w:t>Criptomoeda</w:t>
      </w:r>
      <w:r w:rsidRPr="00E4112C">
        <w:rPr>
          <w:rFonts w:ascii="Times New Roman" w:eastAsia="MS Mincho" w:hAnsi="Times New Roman" w:cs="Times New Roman"/>
          <w:kern w:val="0"/>
          <w:sz w:val="20"/>
          <w:szCs w:val="20"/>
          <w:lang w:val="es-ES" w:bidi="ar-SA"/>
          <w14:ligatures w14:val="none"/>
        </w:rPr>
        <w:t xml:space="preserve">"), uma criptomoeda baseada em uma plataforma de software descentralizada, baseada em blockchain e de código aberto (também chamada Ethereum) e exibida em https://ethereum.org/en/eth, igual à reivindicação do Titular das Obrigações, em qualquer Dia Útil, contra o Emitente em relação a cada Obrigação, expressa como a quantidade da Criptomoeda por Obrigação, e calculada pelo Emitente a seu exclusivo critério, de acordo com a fórmula abaixo, fazendo referência ao Compass </w:t>
      </w:r>
      <w:r w:rsidR="00616045" w:rsidRPr="009E42EE">
        <w:rPr>
          <w:rFonts w:ascii="Times New Roman" w:eastAsia="MS Mincho" w:hAnsi="Times New Roman" w:cs="Times New Roman"/>
          <w:kern w:val="0"/>
          <w:sz w:val="20"/>
          <w:szCs w:val="20"/>
          <w:lang w:val="es-ES" w:bidi="ar-SA"/>
          <w14:ligatures w14:val="none"/>
        </w:rPr>
        <w:t xml:space="preserve">Crypto Reference Index Ethereum </w:t>
      </w:r>
      <w:r w:rsidRPr="00E4112C">
        <w:rPr>
          <w:rFonts w:ascii="Times New Roman" w:eastAsia="MS Mincho" w:hAnsi="Times New Roman" w:cs="Times New Roman"/>
          <w:kern w:val="0"/>
          <w:sz w:val="20"/>
          <w:szCs w:val="20"/>
          <w:lang w:val="es-ES" w:bidi="ar-SA"/>
          <w14:ligatures w14:val="none"/>
        </w:rPr>
        <w:t>(o "</w:t>
      </w:r>
      <w:r w:rsidRPr="00E4112C">
        <w:rPr>
          <w:rFonts w:ascii="Times New Roman" w:eastAsia="MS Mincho" w:hAnsi="Times New Roman" w:cs="Times New Roman"/>
          <w:b/>
          <w:bCs/>
          <w:kern w:val="0"/>
          <w:sz w:val="20"/>
          <w:szCs w:val="20"/>
          <w:lang w:val="es-ES" w:bidi="ar-SA"/>
          <w14:ligatures w14:val="none"/>
        </w:rPr>
        <w:t>Índice</w:t>
      </w:r>
      <w:r w:rsidRPr="00E4112C">
        <w:rPr>
          <w:rFonts w:ascii="Times New Roman" w:eastAsia="MS Mincho" w:hAnsi="Times New Roman" w:cs="Times New Roman"/>
          <w:kern w:val="0"/>
          <w:sz w:val="20"/>
          <w:szCs w:val="20"/>
          <w:lang w:val="es-ES" w:bidi="ar-SA"/>
          <w14:ligatures w14:val="none"/>
        </w:rPr>
        <w:t>") ("</w:t>
      </w:r>
      <w:r w:rsidRPr="00E4112C">
        <w:rPr>
          <w:rFonts w:ascii="Times New Roman" w:eastAsia="MS Mincho" w:hAnsi="Times New Roman" w:cs="Times New Roman"/>
          <w:i/>
          <w:iCs/>
          <w:kern w:val="0"/>
          <w:sz w:val="20"/>
          <w:szCs w:val="20"/>
          <w:lang w:val="es-ES" w:bidi="ar-SA"/>
          <w14:ligatures w14:val="none"/>
        </w:rPr>
        <w:t>1.4.1. Método de Determinação do Preço de Emissão</w:t>
      </w:r>
      <w:r w:rsidRPr="00E4112C">
        <w:rPr>
          <w:rFonts w:ascii="Times New Roman" w:eastAsia="MS Mincho" w:hAnsi="Times New Roman" w:cs="Times New Roman"/>
          <w:kern w:val="0"/>
          <w:sz w:val="20"/>
          <w:szCs w:val="20"/>
          <w:lang w:val="es-ES" w:bidi="ar-SA"/>
          <w14:ligatures w14:val="none"/>
        </w:rPr>
        <w:t>") (o "</w:t>
      </w:r>
      <w:r w:rsidRPr="00E4112C">
        <w:rPr>
          <w:rFonts w:ascii="Times New Roman" w:eastAsia="MS Mincho" w:hAnsi="Times New Roman" w:cs="Times New Roman"/>
          <w:b/>
          <w:bCs/>
          <w:kern w:val="0"/>
          <w:sz w:val="20"/>
          <w:szCs w:val="20"/>
          <w:lang w:val="es-ES" w:bidi="ar-SA"/>
          <w14:ligatures w14:val="none"/>
        </w:rPr>
        <w:t xml:space="preserve">Direito </w:t>
      </w:r>
      <w:r w:rsidR="003C3B77" w:rsidRPr="00E4112C">
        <w:rPr>
          <w:rFonts w:ascii="Times New Roman" w:eastAsia="MS Mincho" w:hAnsi="Times New Roman" w:cs="Times New Roman"/>
          <w:b/>
          <w:bCs/>
          <w:kern w:val="0"/>
          <w:sz w:val="20"/>
          <w:szCs w:val="20"/>
          <w:lang w:val="es-ES" w:bidi="ar-SA"/>
          <w14:ligatures w14:val="none"/>
        </w:rPr>
        <w:t>á</w:t>
      </w:r>
      <w:r w:rsidRPr="00E4112C">
        <w:rPr>
          <w:rFonts w:ascii="Times New Roman" w:eastAsia="MS Mincho" w:hAnsi="Times New Roman" w:cs="Times New Roman"/>
          <w:b/>
          <w:bCs/>
          <w:kern w:val="0"/>
          <w:sz w:val="20"/>
          <w:szCs w:val="20"/>
          <w:lang w:val="es-ES" w:bidi="ar-SA"/>
          <w14:ligatures w14:val="none"/>
        </w:rPr>
        <w:t xml:space="preserve"> Criptomoeda</w:t>
      </w:r>
      <w:r w:rsidRPr="00E4112C">
        <w:rPr>
          <w:rFonts w:ascii="Times New Roman" w:eastAsia="MS Mincho" w:hAnsi="Times New Roman" w:cs="Times New Roman"/>
          <w:kern w:val="0"/>
          <w:sz w:val="20"/>
          <w:szCs w:val="20"/>
          <w:lang w:val="es-ES" w:bidi="ar-SA"/>
          <w14:ligatures w14:val="none"/>
        </w:rPr>
        <w:t>") ou (b) o pagamento de um valor em dólares americanos ("</w:t>
      </w:r>
      <w:r w:rsidRPr="00E4112C">
        <w:rPr>
          <w:rFonts w:ascii="Times New Roman" w:eastAsia="MS Mincho" w:hAnsi="Times New Roman" w:cs="Times New Roman"/>
          <w:b/>
          <w:bCs/>
          <w:kern w:val="0"/>
          <w:sz w:val="20"/>
          <w:szCs w:val="20"/>
          <w:lang w:val="es-ES" w:bidi="ar-SA"/>
          <w14:ligatures w14:val="none"/>
        </w:rPr>
        <w:t>USD</w:t>
      </w:r>
      <w:r w:rsidRPr="00E4112C">
        <w:rPr>
          <w:rFonts w:ascii="Times New Roman" w:eastAsia="MS Mincho" w:hAnsi="Times New Roman" w:cs="Times New Roman"/>
          <w:kern w:val="0"/>
          <w:sz w:val="20"/>
          <w:szCs w:val="20"/>
          <w:lang w:val="es-ES" w:bidi="ar-SA"/>
          <w14:ligatures w14:val="none"/>
        </w:rPr>
        <w:t>") determinado de acordo com as disposições relevantes dos termos e condições (os "</w:t>
      </w:r>
      <w:r w:rsidRPr="00E4112C">
        <w:rPr>
          <w:rFonts w:ascii="Times New Roman" w:eastAsia="MS Mincho" w:hAnsi="Times New Roman" w:cs="Times New Roman"/>
          <w:b/>
          <w:bCs/>
          <w:kern w:val="0"/>
          <w:sz w:val="20"/>
          <w:szCs w:val="20"/>
          <w:lang w:val="es-ES" w:bidi="ar-SA"/>
          <w14:ligatures w14:val="none"/>
        </w:rPr>
        <w:t>Termos e Condições</w:t>
      </w:r>
      <w:r w:rsidRPr="00E4112C">
        <w:rPr>
          <w:rFonts w:ascii="Times New Roman" w:eastAsia="MS Mincho" w:hAnsi="Times New Roman" w:cs="Times New Roman"/>
          <w:kern w:val="0"/>
          <w:sz w:val="20"/>
          <w:szCs w:val="20"/>
          <w:lang w:val="es-ES" w:bidi="ar-SA"/>
          <w14:ligatures w14:val="none"/>
        </w:rPr>
        <w:t xml:space="preserve">"). As obrigações sob as Obrigações constituem obrigações diretas, não subordinadas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garantidas do Emitente, classificadas pari passu entre (i) elas mesmas, (ii) quaisquer Obrigações de Resgate Garantidas e Obrigações de Liquidação Garantidas (conforme definido abaixo) ("</w:t>
      </w:r>
      <w:r w:rsidRPr="00E4112C">
        <w:rPr>
          <w:rFonts w:ascii="Times New Roman" w:eastAsia="MS Mincho" w:hAnsi="Times New Roman" w:cs="Times New Roman"/>
          <w:i/>
          <w:iCs/>
          <w:kern w:val="0"/>
          <w:sz w:val="20"/>
          <w:szCs w:val="20"/>
          <w:lang w:val="es-ES" w:bidi="ar-SA"/>
          <w14:ligatures w14:val="none"/>
        </w:rPr>
        <w:t>1.3.3. Riscos relacionados a Resgates Voluntários</w:t>
      </w:r>
      <w:r w:rsidRPr="00E4112C">
        <w:rPr>
          <w:rFonts w:ascii="Times New Roman" w:eastAsia="MS Mincho" w:hAnsi="Times New Roman" w:cs="Times New Roman"/>
          <w:kern w:val="0"/>
          <w:sz w:val="20"/>
          <w:szCs w:val="20"/>
          <w:lang w:val="es-ES" w:bidi="ar-SA"/>
          <w14:ligatures w14:val="none"/>
        </w:rPr>
        <w:t xml:space="preserve">") e (iii) qualquer obrigação do Emitente de transferir Obrigações para qualquer entidade que tenha sido nomeada pelo Emitente como participante autorizado (o "Participante Autorizado") se tal Participante Autorizado tiver transferido pelo menos o Direito </w:t>
      </w:r>
      <w:r w:rsidR="003C3B77" w:rsidRPr="00E4112C">
        <w:rPr>
          <w:rFonts w:ascii="Times New Roman" w:eastAsia="MS Mincho" w:hAnsi="Times New Roman" w:cs="Times New Roman"/>
          <w:kern w:val="0"/>
          <w:sz w:val="20"/>
          <w:szCs w:val="20"/>
          <w:lang w:val="es-ES" w:bidi="ar-SA"/>
          <w14:ligatures w14:val="none"/>
        </w:rPr>
        <w:t>á</w:t>
      </w:r>
      <w:r w:rsidRPr="00E4112C">
        <w:rPr>
          <w:rFonts w:ascii="Times New Roman" w:eastAsia="MS Mincho" w:hAnsi="Times New Roman" w:cs="Times New Roman"/>
          <w:kern w:val="0"/>
          <w:sz w:val="20"/>
          <w:szCs w:val="20"/>
          <w:lang w:val="es-ES" w:bidi="ar-SA"/>
          <w14:ligatures w14:val="none"/>
        </w:rPr>
        <w:t xml:space="preserve"> Criptomoeda por Obrigação sendo subscrita ou comprada para uma carteira de depósito operada pela Zodia Custody (Ireland) Limited (a "</w:t>
      </w:r>
      <w:r w:rsidRPr="00E4112C">
        <w:rPr>
          <w:rFonts w:ascii="Times New Roman" w:eastAsia="MS Mincho" w:hAnsi="Times New Roman" w:cs="Times New Roman"/>
          <w:b/>
          <w:bCs/>
          <w:kern w:val="0"/>
          <w:sz w:val="20"/>
          <w:szCs w:val="20"/>
          <w:lang w:val="es-ES" w:bidi="ar-SA"/>
          <w14:ligatures w14:val="none"/>
        </w:rPr>
        <w:t>Carteira de Depósito</w:t>
      </w:r>
      <w:r w:rsidRPr="00E4112C">
        <w:rPr>
          <w:rFonts w:ascii="Times New Roman" w:eastAsia="MS Mincho" w:hAnsi="Times New Roman" w:cs="Times New Roman"/>
          <w:kern w:val="0"/>
          <w:sz w:val="20"/>
          <w:szCs w:val="20"/>
          <w:lang w:val="es-ES" w:bidi="ar-SA"/>
          <w14:ligatures w14:val="none"/>
        </w:rPr>
        <w:t>" e tais obrigações, as "</w:t>
      </w:r>
      <w:r w:rsidRPr="00E4112C">
        <w:rPr>
          <w:rFonts w:ascii="Times New Roman" w:eastAsia="MS Mincho" w:hAnsi="Times New Roman" w:cs="Times New Roman"/>
          <w:b/>
          <w:bCs/>
          <w:kern w:val="0"/>
          <w:sz w:val="20"/>
          <w:szCs w:val="20"/>
          <w:lang w:val="es-ES" w:bidi="ar-SA"/>
          <w14:ligatures w14:val="none"/>
        </w:rPr>
        <w:t>Obrigações de Liquidação Garantidas</w:t>
      </w:r>
      <w:r w:rsidRPr="00E4112C">
        <w:rPr>
          <w:rFonts w:ascii="Times New Roman" w:eastAsia="MS Mincho" w:hAnsi="Times New Roman" w:cs="Times New Roman"/>
          <w:kern w:val="0"/>
          <w:sz w:val="20"/>
          <w:szCs w:val="20"/>
          <w:lang w:val="es-ES" w:bidi="ar-SA"/>
          <w14:ligatures w14:val="none"/>
        </w:rPr>
        <w:t>"). As Obrigações são livremente transferíveis.</w:t>
      </w:r>
    </w:p>
    <w:p w14:paraId="0B5B1CDF" w14:textId="1BCF8B73" w:rsidR="007E4D44" w:rsidRPr="00E4112C" w:rsidRDefault="007E4D44" w:rsidP="007E4D44">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Os seguintes direitos estão associados às Obrigações: </w:t>
      </w:r>
    </w:p>
    <w:p w14:paraId="77BA74DE" w14:textId="77777777" w:rsidR="007E4D44" w:rsidRPr="00E4112C" w:rsidRDefault="007E4D44" w:rsidP="007E4D44">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Segurança:</w:t>
      </w:r>
      <w:r w:rsidRPr="00E4112C">
        <w:rPr>
          <w:rFonts w:ascii="Times New Roman" w:eastAsia="MS Mincho" w:hAnsi="Times New Roman" w:cs="Times New Roman"/>
          <w:kern w:val="0"/>
          <w:sz w:val="20"/>
          <w:szCs w:val="20"/>
          <w:lang w:val="es-ES" w:bidi="ar-SA"/>
          <w14:ligatures w14:val="none"/>
        </w:rPr>
        <w:t xml:space="preserve"> Penhor pelo Emitente em favor dos Titulares das Obrigações dos seus direitos, título, interesse e benefício, presentes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futuros, na, para e sob a Carteira de Depositário e a Criptomoeda Depositada e penhor pelo Emitente sobre a Conta de Emissão e as Obrigações Propriedade do Emitente em favor dos Titulares das Obrigações (a "</w:t>
      </w:r>
      <w:r w:rsidRPr="00E4112C">
        <w:rPr>
          <w:rFonts w:ascii="Times New Roman" w:eastAsia="MS Mincho" w:hAnsi="Times New Roman" w:cs="Times New Roman"/>
          <w:b/>
          <w:bCs/>
          <w:kern w:val="0"/>
          <w:sz w:val="20"/>
          <w:szCs w:val="20"/>
          <w:lang w:val="es-ES" w:bidi="ar-SA"/>
          <w14:ligatures w14:val="none"/>
        </w:rPr>
        <w:t>Segurança</w:t>
      </w:r>
      <w:r w:rsidRPr="00E4112C">
        <w:rPr>
          <w:rFonts w:ascii="Times New Roman" w:eastAsia="MS Mincho" w:hAnsi="Times New Roman" w:cs="Times New Roman"/>
          <w:kern w:val="0"/>
          <w:sz w:val="20"/>
          <w:szCs w:val="20"/>
          <w:lang w:val="es-ES" w:bidi="ar-SA"/>
          <w14:ligatures w14:val="none"/>
        </w:rPr>
        <w:t xml:space="preserve">"). Os detalhes das contas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os termos e condições dos respectivos penhores serão estipulados nos Documentos de Segurança, que estarão disponíveis para inspeção pelos Titulares das Obrigações no principal local de negócios do Emitente (Gridiron, One Pancras Square, Londres, N1C 4 AG, Reino Unido).</w:t>
      </w:r>
    </w:p>
    <w:p w14:paraId="0DC9E8C5" w14:textId="1E242105" w:rsidR="007E4D44" w:rsidRPr="00E4112C" w:rsidRDefault="007E4D44" w:rsidP="007E4D44">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Staking:</w:t>
      </w:r>
      <w:r w:rsidRPr="00E4112C">
        <w:rPr>
          <w:rFonts w:ascii="Times New Roman" w:eastAsia="MS Mincho" w:hAnsi="Times New Roman" w:cs="Times New Roman"/>
          <w:kern w:val="0"/>
          <w:sz w:val="20"/>
          <w:szCs w:val="20"/>
          <w:lang w:val="es-ES" w:bidi="ar-SA"/>
          <w14:ligatures w14:val="none"/>
        </w:rPr>
        <w:t xml:space="preserve"> O Emitente pode utilizar os serviços de um provedor de serviços (o "</w:t>
      </w:r>
      <w:r w:rsidRPr="00E4112C">
        <w:rPr>
          <w:rFonts w:ascii="Times New Roman" w:eastAsia="MS Mincho" w:hAnsi="Times New Roman" w:cs="Times New Roman"/>
          <w:b/>
          <w:bCs/>
          <w:kern w:val="0"/>
          <w:sz w:val="20"/>
          <w:szCs w:val="20"/>
          <w:lang w:val="es-ES" w:bidi="ar-SA"/>
          <w14:ligatures w14:val="none"/>
        </w:rPr>
        <w:t>Provedor de Staking</w:t>
      </w:r>
      <w:r w:rsidRPr="00E4112C">
        <w:rPr>
          <w:rFonts w:ascii="Times New Roman" w:eastAsia="MS Mincho" w:hAnsi="Times New Roman" w:cs="Times New Roman"/>
          <w:kern w:val="0"/>
          <w:sz w:val="20"/>
          <w:szCs w:val="20"/>
          <w:lang w:val="es-ES" w:bidi="ar-SA"/>
          <w14:ligatures w14:val="none"/>
        </w:rPr>
        <w:t xml:space="preserve">") para aplicar algumas ou </w:t>
      </w:r>
      <w:proofErr w:type="gramStart"/>
      <w:r w:rsidRPr="00E4112C">
        <w:rPr>
          <w:rFonts w:ascii="Times New Roman" w:eastAsia="MS Mincho" w:hAnsi="Times New Roman" w:cs="Times New Roman"/>
          <w:kern w:val="0"/>
          <w:sz w:val="20"/>
          <w:szCs w:val="20"/>
          <w:lang w:val="es-ES" w:bidi="ar-SA"/>
          <w14:ligatures w14:val="none"/>
        </w:rPr>
        <w:t>todas as</w:t>
      </w:r>
      <w:proofErr w:type="gramEnd"/>
      <w:r w:rsidRPr="00E4112C">
        <w:rPr>
          <w:rFonts w:ascii="Times New Roman" w:eastAsia="MS Mincho" w:hAnsi="Times New Roman" w:cs="Times New Roman"/>
          <w:kern w:val="0"/>
          <w:sz w:val="20"/>
          <w:szCs w:val="20"/>
          <w:lang w:val="es-ES" w:bidi="ar-SA"/>
          <w14:ligatures w14:val="none"/>
        </w:rPr>
        <w:t xml:space="preserve"> unidades da Criptomoeda que fazem parte das Criptomoedas Depositadas para Staking. Quaisquer unidades da Criptomoeda recebidas como recompensas por este processo (sujeitas às taxas aplicáveis) farão parte do Direito </w:t>
      </w:r>
      <w:r w:rsidR="003C3B77" w:rsidRPr="00E4112C">
        <w:rPr>
          <w:rFonts w:ascii="Times New Roman" w:eastAsia="MS Mincho" w:hAnsi="Times New Roman" w:cs="Times New Roman"/>
          <w:kern w:val="0"/>
          <w:sz w:val="20"/>
          <w:szCs w:val="20"/>
          <w:lang w:val="es-ES" w:bidi="ar-SA"/>
          <w14:ligatures w14:val="none"/>
        </w:rPr>
        <w:t>á</w:t>
      </w:r>
      <w:r w:rsidRPr="00E4112C">
        <w:rPr>
          <w:rFonts w:ascii="Times New Roman" w:eastAsia="MS Mincho" w:hAnsi="Times New Roman" w:cs="Times New Roman"/>
          <w:kern w:val="0"/>
          <w:sz w:val="20"/>
          <w:szCs w:val="20"/>
          <w:lang w:val="es-ES" w:bidi="ar-SA"/>
          <w14:ligatures w14:val="none"/>
        </w:rPr>
        <w:t xml:space="preserve"> Criptomoeda. </w:t>
      </w:r>
    </w:p>
    <w:p w14:paraId="608FB6FA" w14:textId="77777777" w:rsidR="007E4D44" w:rsidRPr="00E4112C" w:rsidRDefault="007E4D44" w:rsidP="007E4D44">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Resgate Obrigatório:</w:t>
      </w:r>
      <w:r w:rsidRPr="00E4112C">
        <w:rPr>
          <w:rFonts w:ascii="Times New Roman" w:eastAsia="MS Mincho" w:hAnsi="Times New Roman" w:cs="Times New Roman"/>
          <w:kern w:val="0"/>
          <w:sz w:val="20"/>
          <w:szCs w:val="20"/>
          <w:lang w:val="es-ES" w:bidi="ar-SA"/>
          <w14:ligatures w14:val="none"/>
        </w:rPr>
        <w:t xml:space="preserve"> Na ocorrência de certos eventos de resgate obrigatório, o Emitente pode a qualquer momento (mas não é obrigado a), dar aviso aos Titulares das Obrigações do evento de resgate obrigatório relevante (o "</w:t>
      </w:r>
      <w:r w:rsidRPr="00E4112C">
        <w:rPr>
          <w:rFonts w:ascii="Times New Roman" w:eastAsia="MS Mincho" w:hAnsi="Times New Roman" w:cs="Times New Roman"/>
          <w:b/>
          <w:bCs/>
          <w:kern w:val="0"/>
          <w:sz w:val="20"/>
          <w:szCs w:val="20"/>
          <w:lang w:val="es-ES" w:bidi="ar-SA"/>
          <w14:ligatures w14:val="none"/>
        </w:rPr>
        <w:t>Aviso de Resgate Obrigatório</w:t>
      </w:r>
      <w:r w:rsidRPr="00E4112C">
        <w:rPr>
          <w:rFonts w:ascii="Times New Roman" w:eastAsia="MS Mincho" w:hAnsi="Times New Roman" w:cs="Times New Roman"/>
          <w:kern w:val="0"/>
          <w:sz w:val="20"/>
          <w:szCs w:val="20"/>
          <w:lang w:val="es-ES" w:bidi="ar-SA"/>
          <w14:ligatures w14:val="none"/>
        </w:rPr>
        <w:t xml:space="preserve">") e resgatar as Obrigações na data de resgate obrigatório especificada no Aviso de </w:t>
      </w:r>
      <w:r w:rsidRPr="00E4112C">
        <w:rPr>
          <w:rFonts w:ascii="Times New Roman" w:eastAsia="MS Mincho" w:hAnsi="Times New Roman" w:cs="Times New Roman"/>
          <w:kern w:val="0"/>
          <w:sz w:val="20"/>
          <w:szCs w:val="20"/>
          <w:lang w:val="es-ES" w:bidi="ar-SA"/>
          <w14:ligatures w14:val="none"/>
        </w:rPr>
        <w:lastRenderedPageBreak/>
        <w:t xml:space="preserve">Resgate Obrigatório pelo seu Preço de Resgate Obrigatório (conforme definido abaixo). Tais eventos de resgate obrigatório incluem, eventos que tornam a emissão contínua de Obrigações e/ou a manutenção de Obrigações Pendentes economicamente ou praticamente inviáveis, como, entre outros, a entrada em vigor de qualquer nova lei ou regulamento que exija que o Emitente obtenha qualquer licença para poder cumprir suas obrigações sob as Obrigações; ou quaisquer mudanças no tratamento fiscal da Criptomoeda; ou se o Emitente foi ordenado por um tribunal competente ou de outra forma se tornou obrigado por lei a providenciar o resgate obrigatório. O exercício do direito de resgate obrigatório pelo Emitente leva inevitavelmente ao resgate das Obrigações para os Titulares das Obrigações. </w:t>
      </w:r>
    </w:p>
    <w:p w14:paraId="28365E6E" w14:textId="4D0D0D31" w:rsidR="007E4D44" w:rsidRPr="00E4112C" w:rsidRDefault="007E4D44" w:rsidP="007E4D44">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Resgate Voluntário:</w:t>
      </w:r>
      <w:r w:rsidRPr="00E4112C">
        <w:rPr>
          <w:rFonts w:ascii="Times New Roman" w:eastAsia="MS Mincho" w:hAnsi="Times New Roman" w:cs="Times New Roman"/>
          <w:kern w:val="0"/>
          <w:sz w:val="20"/>
          <w:szCs w:val="20"/>
          <w:lang w:val="es-ES" w:bidi="ar-SA"/>
          <w14:ligatures w14:val="none"/>
        </w:rPr>
        <w:t xml:space="preserve"> As Obrigações não têm uma data de vencimento fixa. No entanto, cada Titular das Obrigações pode exigir que o Emitente resgate suas Obrigações contra entrega física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ou (no cumprimento de sua reivindicação de entrega da Criptomoeda) contra pagamento em dinheiro em USD (o "</w:t>
      </w:r>
      <w:r w:rsidRPr="00E4112C">
        <w:rPr>
          <w:rFonts w:ascii="Times New Roman" w:eastAsia="MS Mincho" w:hAnsi="Times New Roman" w:cs="Times New Roman"/>
          <w:b/>
          <w:bCs/>
          <w:kern w:val="0"/>
          <w:sz w:val="20"/>
          <w:szCs w:val="20"/>
          <w:lang w:val="es-ES" w:bidi="ar-SA"/>
          <w14:ligatures w14:val="none"/>
        </w:rPr>
        <w:t>Resgate Voluntário</w:t>
      </w:r>
      <w:r w:rsidRPr="00E4112C">
        <w:rPr>
          <w:rFonts w:ascii="Times New Roman" w:eastAsia="MS Mincho" w:hAnsi="Times New Roman" w:cs="Times New Roman"/>
          <w:kern w:val="0"/>
          <w:sz w:val="20"/>
          <w:szCs w:val="20"/>
          <w:lang w:val="es-ES" w:bidi="ar-SA"/>
          <w14:ligatures w14:val="none"/>
        </w:rPr>
        <w:t xml:space="preserve">"). Se as Obrigações forem resgatadas contra pagamento em dinheiro, o valor do resgate será igual aos proventos da venda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 xml:space="preserve">Criptomoeda usando o Procedimento de Execução da Criptomoeda (conforme definido abaixo), na medida em que tal procedimento resulte em uma venda bem-sucedida. Para encerrar suas Obrigações, o Titular das Obrigações precisa (i) apresentar um formulário de resgate juntamente com todos os documentos KYC exigidos, (ii) pagar uma taxa de resgate antecipada de </w:t>
      </w:r>
      <w:r w:rsidR="00E72AE2">
        <w:rPr>
          <w:rFonts w:ascii="Times New Roman" w:eastAsia="MS Mincho" w:hAnsi="Times New Roman" w:cs="Times New Roman"/>
          <w:kern w:val="0"/>
          <w:sz w:val="20"/>
          <w:szCs w:val="20"/>
          <w:lang w:val="es-ES" w:bidi="ar-SA"/>
          <w14:ligatures w14:val="none"/>
        </w:rPr>
        <w:t>EUR</w:t>
      </w:r>
      <w:r w:rsidRPr="00E4112C">
        <w:rPr>
          <w:rFonts w:ascii="Times New Roman" w:eastAsia="MS Mincho" w:hAnsi="Times New Roman" w:cs="Times New Roman"/>
          <w:kern w:val="0"/>
          <w:sz w:val="20"/>
          <w:szCs w:val="20"/>
          <w:lang w:val="es-ES" w:bidi="ar-SA"/>
          <w14:ligatures w14:val="none"/>
        </w:rPr>
        <w:t xml:space="preserve"> 100,00 (que está sujeita a certas isenções) (a "</w:t>
      </w:r>
      <w:r w:rsidRPr="00E4112C">
        <w:rPr>
          <w:rFonts w:ascii="Times New Roman" w:eastAsia="MS Mincho" w:hAnsi="Times New Roman" w:cs="Times New Roman"/>
          <w:b/>
          <w:bCs/>
          <w:kern w:val="0"/>
          <w:sz w:val="20"/>
          <w:szCs w:val="20"/>
          <w:lang w:val="es-ES" w:bidi="ar-SA"/>
          <w14:ligatures w14:val="none"/>
        </w:rPr>
        <w:t>Taxa de Resgate Antecipada</w:t>
      </w:r>
      <w:r w:rsidRPr="00E4112C">
        <w:rPr>
          <w:rFonts w:ascii="Times New Roman" w:eastAsia="MS Mincho" w:hAnsi="Times New Roman" w:cs="Times New Roman"/>
          <w:kern w:val="0"/>
          <w:sz w:val="20"/>
          <w:szCs w:val="20"/>
          <w:lang w:val="es-ES" w:bidi="ar-SA"/>
          <w14:ligatures w14:val="none"/>
        </w:rPr>
        <w:t xml:space="preserve">") e (iii) transferir as Obrigações em relação às quais o direito de Resgate Voluntário foi exercido, para a Conta de Emissão livre de pagamento. Se um Titular das Obrigações exercer seu direito de Resgate Voluntário perante o Emitente ou perante um Participante Autorizado, uma taxa de exercício além da Taxa de Resgate Antecipada (quando aplicável) no valor de 2,50 por cento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por cada Obrigação em relação à qual o direito de Resgate Voluntário é exercido será cobrada (a "</w:t>
      </w:r>
      <w:r w:rsidRPr="00E4112C">
        <w:rPr>
          <w:rFonts w:ascii="Times New Roman" w:eastAsia="MS Mincho" w:hAnsi="Times New Roman" w:cs="Times New Roman"/>
          <w:b/>
          <w:bCs/>
          <w:kern w:val="0"/>
          <w:sz w:val="20"/>
          <w:szCs w:val="20"/>
          <w:lang w:val="es-ES" w:bidi="ar-SA"/>
          <w14:ligatures w14:val="none"/>
        </w:rPr>
        <w:t>Taxa de Exercício</w:t>
      </w:r>
      <w:r w:rsidRPr="00E4112C">
        <w:rPr>
          <w:rFonts w:ascii="Times New Roman" w:eastAsia="MS Mincho" w:hAnsi="Times New Roman" w:cs="Times New Roman"/>
          <w:kern w:val="0"/>
          <w:sz w:val="20"/>
          <w:szCs w:val="20"/>
          <w:lang w:val="es-ES" w:bidi="ar-SA"/>
          <w14:ligatures w14:val="none"/>
        </w:rPr>
        <w:t xml:space="preserve">"). No entanto, se o Titular das Obrigações vender suas Obrigações na bolsa de valores - então não serão incorridas taxas de resgate do Emitente ou do Participante Autorizado. Se um Titular das Obrigações exercer seu direito de Resgate Voluntário e optar por resgate em dinheiro, o Emitente instruirá um agente de execução para vender Criptomoeda em quantidade igual ao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(o "</w:t>
      </w:r>
      <w:r w:rsidRPr="00E4112C">
        <w:rPr>
          <w:rFonts w:ascii="Times New Roman" w:eastAsia="MS Mincho" w:hAnsi="Times New Roman" w:cs="Times New Roman"/>
          <w:b/>
          <w:bCs/>
          <w:kern w:val="0"/>
          <w:sz w:val="20"/>
          <w:szCs w:val="20"/>
          <w:lang w:val="es-ES" w:bidi="ar-SA"/>
          <w14:ligatures w14:val="none"/>
        </w:rPr>
        <w:t>Procedimento de Execução da Criptomoeda</w:t>
      </w:r>
      <w:r w:rsidRPr="00E4112C">
        <w:rPr>
          <w:rFonts w:ascii="Times New Roman" w:eastAsia="MS Mincho" w:hAnsi="Times New Roman" w:cs="Times New Roman"/>
          <w:kern w:val="0"/>
          <w:sz w:val="20"/>
          <w:szCs w:val="20"/>
          <w:lang w:val="es-ES" w:bidi="ar-SA"/>
          <w14:ligatures w14:val="none"/>
        </w:rPr>
        <w:t>"). Os proventos da venda do Procedimento de Execução da Criptomoeda (menos quaisquer taxas aplicáveis ​​em conexão com a venda das unidades de Criptomoeda e a transferência do valor em dinheiro) serão usados ​​para o resgate das Obrigações. O Emitente pode optar por cobrar uma Taxa de Exercício do respectivo Titular das Obrigações mesmo em caso de Procedimento de Execução da Criptomoeda parcialmente ou totalmente mal-sucedido.</w:t>
      </w:r>
    </w:p>
    <w:p w14:paraId="789B76F1" w14:textId="4032BEDA" w:rsidR="000B6408" w:rsidRPr="00E4112C" w:rsidRDefault="000B6408" w:rsidP="000B6408">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Resgate em Caso de Evento de Incumprimento:</w:t>
      </w:r>
      <w:r w:rsidRPr="00E4112C">
        <w:rPr>
          <w:rFonts w:ascii="Times New Roman" w:eastAsia="MS Mincho" w:hAnsi="Times New Roman" w:cs="Times New Roman"/>
          <w:kern w:val="0"/>
          <w:sz w:val="20"/>
          <w:szCs w:val="20"/>
          <w:lang w:val="es-ES" w:bidi="ar-SA"/>
          <w14:ligatures w14:val="none"/>
        </w:rPr>
        <w:t xml:space="preserve"> As Obrigações preveem eventos de incumprimento que autorizam cada Titular das Obrigações a exigir o resgate imediato pelo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w:t>
      </w:r>
    </w:p>
    <w:p w14:paraId="7F2EE9FE" w14:textId="79966D1D" w:rsidR="000B6408" w:rsidRPr="00E4112C" w:rsidRDefault="000B6408" w:rsidP="000B6408">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 xml:space="preserve">Ajustes ao </w:t>
      </w:r>
      <w:r w:rsidR="00387840" w:rsidRPr="00E4112C">
        <w:rPr>
          <w:rFonts w:ascii="Times New Roman" w:eastAsia="MS Mincho" w:hAnsi="Times New Roman" w:cs="Times New Roman"/>
          <w:b/>
          <w:bCs/>
          <w:i/>
          <w:iCs/>
          <w:kern w:val="0"/>
          <w:sz w:val="20"/>
          <w:szCs w:val="20"/>
          <w:lang w:val="es-ES" w:bidi="ar-SA"/>
          <w14:ligatures w14:val="none"/>
        </w:rPr>
        <w:t>Direito á</w:t>
      </w:r>
      <w:r w:rsidRPr="00E4112C">
        <w:rPr>
          <w:rFonts w:ascii="Times New Roman" w:eastAsia="MS Mincho" w:hAnsi="Times New Roman" w:cs="Times New Roman"/>
          <w:b/>
          <w:bCs/>
          <w:i/>
          <w:iCs/>
          <w:kern w:val="0"/>
          <w:sz w:val="20"/>
          <w:szCs w:val="20"/>
          <w:lang w:val="es-ES" w:bidi="ar-SA"/>
          <w14:ligatures w14:val="none"/>
        </w:rPr>
        <w:t>Criptomoeda:</w:t>
      </w:r>
      <w:r w:rsidRPr="00E4112C">
        <w:rPr>
          <w:rFonts w:ascii="Times New Roman" w:eastAsia="MS Mincho" w:hAnsi="Times New Roman" w:cs="Times New Roman"/>
          <w:kern w:val="0"/>
          <w:sz w:val="20"/>
          <w:szCs w:val="20"/>
          <w:lang w:val="es-ES" w:bidi="ar-SA"/>
          <w14:ligatures w14:val="none"/>
        </w:rPr>
        <w:t xml:space="preserve"> Na ocorrência de certos eventos que afetam a Criptomoeda subjacente e/ou 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(cada um, um "</w:t>
      </w:r>
      <w:r w:rsidRPr="00E4112C">
        <w:rPr>
          <w:rFonts w:ascii="Times New Roman" w:eastAsia="MS Mincho" w:hAnsi="Times New Roman" w:cs="Times New Roman"/>
          <w:b/>
          <w:bCs/>
          <w:kern w:val="0"/>
          <w:sz w:val="20"/>
          <w:szCs w:val="20"/>
          <w:lang w:val="es-ES" w:bidi="ar-SA"/>
          <w14:ligatures w14:val="none"/>
        </w:rPr>
        <w:t>Evento de Ajuste</w:t>
      </w:r>
      <w:r w:rsidRPr="00E4112C">
        <w:rPr>
          <w:rFonts w:ascii="Times New Roman" w:eastAsia="MS Mincho" w:hAnsi="Times New Roman" w:cs="Times New Roman"/>
          <w:kern w:val="0"/>
          <w:sz w:val="20"/>
          <w:szCs w:val="20"/>
          <w:lang w:val="es-ES" w:bidi="ar-SA"/>
          <w14:ligatures w14:val="none"/>
        </w:rPr>
        <w:t xml:space="preserve">"), o Emitente fará ajustes à Criptomoeda ou ao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suspenderá os reequilíbrios programados do Índice ou substituirá o Índice subjacente relevante por um novo Índice semelhante, em cada caso, se e na medida em que considerar necessário em sua opinião.</w:t>
      </w:r>
    </w:p>
    <w:p w14:paraId="32A72048" w14:textId="78A15611" w:rsidR="000B6408" w:rsidRPr="00E4112C" w:rsidRDefault="000B6408" w:rsidP="000B6408">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Suspensão dos Resgates:</w:t>
      </w:r>
      <w:r w:rsidRPr="00E4112C">
        <w:rPr>
          <w:rFonts w:ascii="Times New Roman" w:eastAsia="MS Mincho" w:hAnsi="Times New Roman" w:cs="Times New Roman"/>
          <w:kern w:val="0"/>
          <w:sz w:val="20"/>
          <w:szCs w:val="20"/>
          <w:lang w:val="es-ES" w:bidi="ar-SA"/>
          <w14:ligatures w14:val="none"/>
        </w:rPr>
        <w:t xml:space="preserve"> Na ocorrência de certos eventos que causem uma disrupção em relação a (i) a negociação da Criptomoeda, (ii) os serviços a serem fornecidos por um prestador de serviços, (iii) o Depositário e/ou o protocolo de qualquer Criptomoeda aplicável em si ou (iv) quaisquer cálculos em relação às Obrigações (cada um, um "</w:t>
      </w:r>
      <w:r w:rsidRPr="00E4112C">
        <w:rPr>
          <w:rFonts w:ascii="Times New Roman" w:eastAsia="MS Mincho" w:hAnsi="Times New Roman" w:cs="Times New Roman"/>
          <w:b/>
          <w:bCs/>
          <w:kern w:val="0"/>
          <w:sz w:val="20"/>
          <w:szCs w:val="20"/>
          <w:lang w:val="es-ES" w:bidi="ar-SA"/>
          <w14:ligatures w14:val="none"/>
        </w:rPr>
        <w:t>Evento de Disrupção</w:t>
      </w:r>
      <w:r w:rsidRPr="00E4112C">
        <w:rPr>
          <w:rFonts w:ascii="Times New Roman" w:eastAsia="MS Mincho" w:hAnsi="Times New Roman" w:cs="Times New Roman"/>
          <w:kern w:val="0"/>
          <w:sz w:val="20"/>
          <w:szCs w:val="20"/>
          <w:lang w:val="es-ES" w:bidi="ar-SA"/>
          <w14:ligatures w14:val="none"/>
        </w:rPr>
        <w:t>"), o Emitente poderá suspender os direitos ou os tempos de (i) fazer pedidos de resgate, (ii) realizar a liquidação de quaisquer resgates ou (iii) quaisquer datas de resgate, liquidação ou pagamento relacionadas.</w:t>
      </w:r>
    </w:p>
    <w:p w14:paraId="5C50ACA3" w14:textId="429836C1" w:rsidR="007C1676" w:rsidRPr="00E4112C" w:rsidRDefault="00C128A6"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proofErr w:type="gramStart"/>
      <w:r w:rsidRPr="00E4112C">
        <w:rPr>
          <w:rFonts w:ascii="Times New Roman" w:eastAsia="Times New Roman" w:hAnsi="Times New Roman" w:cs="Times New Roman"/>
          <w:b/>
          <w:bCs/>
          <w:color w:val="000000"/>
          <w:kern w:val="0"/>
          <w:sz w:val="20"/>
          <w:szCs w:val="20"/>
          <w:lang w:val="es-ES" w:bidi="ar-SA"/>
          <w14:ligatures w14:val="none"/>
        </w:rPr>
        <w:t>Onde serão negociados os títulos</w:t>
      </w:r>
      <w:r w:rsidR="007C1676" w:rsidRPr="00E4112C">
        <w:rPr>
          <w:rFonts w:ascii="Times New Roman" w:eastAsia="Times New Roman" w:hAnsi="Times New Roman" w:cs="Times New Roman"/>
          <w:b/>
          <w:bCs/>
          <w:color w:val="000000"/>
          <w:kern w:val="0"/>
          <w:sz w:val="20"/>
          <w:szCs w:val="20"/>
          <w:lang w:val="es-ES" w:bidi="ar-SA"/>
          <w14:ligatures w14:val="none"/>
        </w:rPr>
        <w:t>?</w:t>
      </w:r>
      <w:proofErr w:type="gramEnd"/>
      <w:r w:rsidR="005A3A67" w:rsidRPr="00E4112C">
        <w:rPr>
          <w:rFonts w:ascii="Times New Roman" w:eastAsia="Times New Roman" w:hAnsi="Times New Roman" w:cs="Times New Roman"/>
          <w:b/>
          <w:bCs/>
          <w:color w:val="000000"/>
          <w:kern w:val="0"/>
          <w:sz w:val="20"/>
          <w:szCs w:val="20"/>
          <w:lang w:val="es-ES" w:bidi="ar-SA"/>
          <w14:ligatures w14:val="none"/>
        </w:rPr>
        <w:t xml:space="preserve"> </w:t>
      </w:r>
    </w:p>
    <w:p w14:paraId="1DFBD68A" w14:textId="1390077B" w:rsidR="007C1676" w:rsidRPr="00E4112C" w:rsidRDefault="00E41037" w:rsidP="002F1BF1">
      <w:pPr>
        <w:keepNext/>
        <w:spacing w:after="60" w:line="240" w:lineRule="auto"/>
        <w:jc w:val="both"/>
        <w:rPr>
          <w:rFonts w:ascii="Times New Roman" w:eastAsia="MS Mincho" w:hAnsi="Times New Roman" w:cs="Times New Roman"/>
          <w:kern w:val="0"/>
          <w:sz w:val="20"/>
          <w:szCs w:val="20"/>
          <w:lang w:val="pt-PT" w:bidi="ar-SA"/>
          <w14:ligatures w14:val="none"/>
        </w:rPr>
      </w:pPr>
      <w:r w:rsidRPr="00E4112C">
        <w:rPr>
          <w:rFonts w:ascii="Times New Roman" w:eastAsia="MS Mincho" w:hAnsi="Times New Roman" w:cs="Times New Roman"/>
          <w:kern w:val="0"/>
          <w:sz w:val="20"/>
          <w:szCs w:val="20"/>
          <w:lang w:val="pt-PT" w:bidi="ar-SA"/>
          <w14:ligatures w14:val="none"/>
        </w:rPr>
        <w:t xml:space="preserve">O pedido deve ser efetuado pelo Emitente para admissão à negociação das Obrigações no mercado regulamentado da Bolsa de Valores de Frankfurt e numa </w:t>
      </w:r>
      <w:r w:rsidR="00CD3F7E" w:rsidRPr="00E4112C">
        <w:rPr>
          <w:rFonts w:ascii="Times New Roman" w:eastAsia="MS Mincho" w:hAnsi="Times New Roman" w:cs="Times New Roman"/>
          <w:kern w:val="0"/>
          <w:sz w:val="20"/>
          <w:szCs w:val="20"/>
          <w:lang w:val="pt-PT" w:bidi="ar-SA"/>
          <w14:ligatures w14:val="none"/>
        </w:rPr>
        <w:t>SIX Swiss Exchange</w:t>
      </w:r>
      <w:r w:rsidRPr="00E4112C">
        <w:rPr>
          <w:rFonts w:ascii="Times New Roman" w:eastAsia="MS Mincho" w:hAnsi="Times New Roman" w:cs="Times New Roman"/>
          <w:kern w:val="0"/>
          <w:sz w:val="20"/>
          <w:szCs w:val="20"/>
          <w:lang w:val="pt-PT" w:bidi="ar-SA"/>
          <w14:ligatures w14:val="none"/>
        </w:rPr>
        <w:t>. O Emitente pode decidir pela admissão à cotação das Obrigações noutros mercados regulados e/ou submeter a negociação as Obrigações através de sistemas de negociação multilateral, sistemas de negociação organizada ou através de internalizadores sistemáticos, tudo conforme o sentido dado pela Diretiva 2014/65/UE do Parlamento Europeu e do Conselho, de 15 de maio de 2014, sobre mercados de instrumentos financeiros.</w:t>
      </w:r>
    </w:p>
    <w:p w14:paraId="61622022" w14:textId="5FFF2D27" w:rsidR="007C1676" w:rsidRPr="00E4112C" w:rsidRDefault="007819FC" w:rsidP="007C1676">
      <w:pPr>
        <w:numPr>
          <w:ilvl w:val="2"/>
          <w:numId w:val="1"/>
        </w:numPr>
        <w:tabs>
          <w:tab w:val="num" w:pos="720"/>
        </w:tabs>
        <w:spacing w:after="18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r w:rsidRPr="00E4112C">
        <w:rPr>
          <w:rFonts w:ascii="Times New Roman" w:eastAsia="Times New Roman" w:hAnsi="Times New Roman" w:cs="Times New Roman"/>
          <w:b/>
          <w:bCs/>
          <w:color w:val="000000"/>
          <w:kern w:val="0"/>
          <w:sz w:val="20"/>
          <w:szCs w:val="20"/>
          <w:lang w:val="es-ES" w:bidi="ar-SA"/>
          <w14:ligatures w14:val="none"/>
        </w:rPr>
        <w:t>Quais são os principais riscos específicos dos títulos</w:t>
      </w:r>
      <w:r w:rsidR="007C1676" w:rsidRPr="00E4112C">
        <w:rPr>
          <w:rFonts w:ascii="Times New Roman" w:eastAsia="Times New Roman" w:hAnsi="Times New Roman" w:cs="Times New Roman"/>
          <w:b/>
          <w:bCs/>
          <w:color w:val="000000"/>
          <w:kern w:val="0"/>
          <w:sz w:val="20"/>
          <w:szCs w:val="20"/>
          <w:lang w:val="es-ES" w:bidi="ar-SA"/>
          <w14:ligatures w14:val="none"/>
        </w:rPr>
        <w:t>?</w:t>
      </w:r>
    </w:p>
    <w:p w14:paraId="6360699E" w14:textId="77777777" w:rsidR="00B86E6D" w:rsidRPr="00E4112C" w:rsidRDefault="00B86E6D" w:rsidP="00B86E6D">
      <w:pPr>
        <w:spacing w:after="60" w:line="240" w:lineRule="auto"/>
        <w:jc w:val="both"/>
        <w:rPr>
          <w:rFonts w:ascii="Times New Roman" w:eastAsia="MS Mincho" w:hAnsi="Times New Roman" w:cs="Times New Roman"/>
          <w:i/>
          <w:iCs/>
          <w:kern w:val="0"/>
          <w:sz w:val="20"/>
          <w:szCs w:val="20"/>
          <w:lang w:val="es-ES" w:bidi="ar-SA"/>
          <w14:ligatures w14:val="none"/>
        </w:rPr>
      </w:pPr>
      <w:r w:rsidRPr="00E4112C">
        <w:rPr>
          <w:rFonts w:ascii="Times New Roman" w:eastAsia="MS Mincho" w:hAnsi="Times New Roman" w:cs="Times New Roman"/>
          <w:i/>
          <w:iCs/>
          <w:kern w:val="0"/>
          <w:sz w:val="20"/>
          <w:szCs w:val="20"/>
          <w:lang w:val="es-ES" w:bidi="ar-SA"/>
          <w14:ligatures w14:val="none"/>
        </w:rPr>
        <w:t>Os seguintes riscos-chave podem levar a perdas substanciais para os Titulares das Obrigações. Cada Titular terá de suportar possíveis perdas no caso de venda das suas Obrigações ou com relação ao reembolso do principal:</w:t>
      </w:r>
    </w:p>
    <w:p w14:paraId="04C0BFA6" w14:textId="296CF461" w:rsidR="00B86E6D" w:rsidRPr="00E4112C" w:rsidRDefault="00B86E6D" w:rsidP="00B86E6D">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Riscos relacionados com a natureza das Obrigações e os Termos e Condições das Obrigações Risco de Perda relacionado ao Staking:</w:t>
      </w:r>
      <w:r w:rsidRPr="00E4112C">
        <w:rPr>
          <w:rFonts w:ascii="Times New Roman" w:eastAsia="MS Mincho" w:hAnsi="Times New Roman" w:cs="Times New Roman"/>
          <w:kern w:val="0"/>
          <w:sz w:val="20"/>
          <w:szCs w:val="20"/>
          <w:lang w:val="es-ES" w:bidi="ar-SA"/>
          <w14:ligatures w14:val="none"/>
        </w:rPr>
        <w:t xml:space="preserve"> Certos protocolos de prova de participação impõem penalidades aos validadores que validam transações nos protocolos de forma negligente ou maliciosa (as "</w:t>
      </w:r>
      <w:r w:rsidRPr="00E4112C">
        <w:rPr>
          <w:rFonts w:ascii="Times New Roman" w:eastAsia="MS Mincho" w:hAnsi="Times New Roman" w:cs="Times New Roman"/>
          <w:b/>
          <w:bCs/>
          <w:kern w:val="0"/>
          <w:sz w:val="20"/>
          <w:szCs w:val="20"/>
          <w:lang w:val="es-ES" w:bidi="ar-SA"/>
          <w14:ligatures w14:val="none"/>
        </w:rPr>
        <w:t>Penalidades de Staking</w:t>
      </w:r>
      <w:r w:rsidRPr="00E4112C">
        <w:rPr>
          <w:rFonts w:ascii="Times New Roman" w:eastAsia="MS Mincho" w:hAnsi="Times New Roman" w:cs="Times New Roman"/>
          <w:kern w:val="0"/>
          <w:sz w:val="20"/>
          <w:szCs w:val="20"/>
          <w:lang w:val="es-ES" w:bidi="ar-SA"/>
          <w14:ligatures w14:val="none"/>
        </w:rPr>
        <w:t xml:space="preserve">"). Tais Penalidades de Staking também podem ser impostas devido a erros involuntários, problemas tecnológicos, hacking e outras atividades maliciosas. As Penalidades de Staking podem compreender a perda de recompensas, bem como a perda das unidades da Criptomoeda subjacente sujeitas ao Staking. Se tais Penalidades de Staking forem aplicadas às Criptomoedas que são aplicadas ao Staking pelo Emitente e o Emitente não for capaz de mitigar ou </w:t>
      </w:r>
      <w:r w:rsidRPr="00E4112C">
        <w:rPr>
          <w:rFonts w:ascii="Times New Roman" w:eastAsia="MS Mincho" w:hAnsi="Times New Roman" w:cs="Times New Roman"/>
          <w:kern w:val="0"/>
          <w:sz w:val="20"/>
          <w:szCs w:val="20"/>
          <w:lang w:val="es-ES" w:bidi="ar-SA"/>
          <w14:ligatures w14:val="none"/>
        </w:rPr>
        <w:lastRenderedPageBreak/>
        <w:t xml:space="preserve">compensar totalmente os efeitos desses eventos no Montante das Obrigações Garantidas devido ao Provedor de Staking ou ao Depositário não poderem satisfazer suas obrigações para com o Emitente, o Emitente tem o direito de ajustar 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 xml:space="preserve">Criptomoeda. Isso resultará efetivamente em uma redução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Criptomoeda, até mesmo a zero, de modo que os investidores nessas Obrigações podem sofrer uma perda total de seu investimento.</w:t>
      </w:r>
    </w:p>
    <w:p w14:paraId="7184F055" w14:textId="77777777" w:rsidR="00B86E6D" w:rsidRPr="00E4112C" w:rsidRDefault="00B86E6D" w:rsidP="00B86E6D">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Risco em conexão com a demora na deposição das Recompensas de Staking:</w:t>
      </w:r>
      <w:r w:rsidRPr="00E4112C">
        <w:rPr>
          <w:rFonts w:ascii="Times New Roman" w:eastAsia="MS Mincho" w:hAnsi="Times New Roman" w:cs="Times New Roman"/>
          <w:kern w:val="0"/>
          <w:sz w:val="20"/>
          <w:szCs w:val="20"/>
          <w:lang w:val="es-ES" w:bidi="ar-SA"/>
          <w14:ligatures w14:val="none"/>
        </w:rPr>
        <w:t xml:space="preserve"> Enquanto quaisquer unidades de Criptomoeda recebidas pelo Emitente em conexão com a subscrição das Obrigações serão transferidas diretamente para a Carteira de Depositário e serão garantidas por um acordo de segurança em benefício dos Titulares das Obrigações, as recompensas recebidas pelo Staking ("</w:t>
      </w:r>
      <w:r w:rsidRPr="00E4112C">
        <w:rPr>
          <w:rFonts w:ascii="Times New Roman" w:eastAsia="MS Mincho" w:hAnsi="Times New Roman" w:cs="Times New Roman"/>
          <w:b/>
          <w:bCs/>
          <w:kern w:val="0"/>
          <w:sz w:val="20"/>
          <w:szCs w:val="20"/>
          <w:lang w:val="es-ES" w:bidi="ar-SA"/>
          <w14:ligatures w14:val="none"/>
        </w:rPr>
        <w:t>Recompensas de Staking</w:t>
      </w:r>
      <w:r w:rsidRPr="00E4112C">
        <w:rPr>
          <w:rFonts w:ascii="Times New Roman" w:eastAsia="MS Mincho" w:hAnsi="Times New Roman" w:cs="Times New Roman"/>
          <w:kern w:val="0"/>
          <w:sz w:val="20"/>
          <w:szCs w:val="20"/>
          <w:lang w:val="es-ES" w:bidi="ar-SA"/>
          <w14:ligatures w14:val="none"/>
        </w:rPr>
        <w:t>") não serão pagas e transferidas para a Carteira de Depositário imediatamente, mas quaisquer pagamentos e transferências de tais Recompensas de Staking estão sujeitos às regras do respectivo protocolo subjacente. O pagamento e a transferência das unidades da respectiva Criptomoeda subjacente ganhas como Recompensas de Staking e a deposição de tais Recompensas de Staking na Carteira de Depositário podem, portanto, requerer um certo período de tempo durante o qual as Recompensas de Staking não fazem parte da Criptomoeda Depositada. Assim, os Titulares das Obrigações podem não estar suficientemente protegidos em caso de falência ou liquidação do Provedor de Staking devido a várias razões durante esse período.</w:t>
      </w:r>
    </w:p>
    <w:p w14:paraId="1404F374" w14:textId="77777777" w:rsidR="00B86E6D" w:rsidRPr="00E4112C" w:rsidRDefault="00B86E6D" w:rsidP="00CD7484">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 xml:space="preserve">Os Titulares das Obrigações estão expostos ao risco de perdas se um resgate em dinheiro falhar devido à falta de ordens de compra ou à indisponibilidade do preço de referência necessário: </w:t>
      </w:r>
      <w:r w:rsidRPr="00E4112C">
        <w:rPr>
          <w:rFonts w:ascii="Times New Roman" w:eastAsia="MS Mincho" w:hAnsi="Times New Roman" w:cs="Times New Roman"/>
          <w:kern w:val="0"/>
          <w:sz w:val="20"/>
          <w:szCs w:val="20"/>
          <w:lang w:val="es-ES" w:bidi="ar-SA"/>
          <w14:ligatures w14:val="none"/>
        </w:rPr>
        <w:t>Em caso de resgates em dinheiro, o Emitente tem de organizar um Procedimento de Execução de Criptomoeda para resgatar as Obrigações. Se tal Procedimento de Execução de Criptomoeda falhar por qualquer motivo, incluindo, sem limitação, como resultado de uma interrupção na disponibilidade do preço de referência da Criptomoeda subjacente, os Titulares das Obrigações enfrentam o risco de que as Obrigações não possam ser resgatadas em dinheiro com o Emitente e possam ser vendidas apenas no mercado secundário.</w:t>
      </w:r>
    </w:p>
    <w:p w14:paraId="02D3AE10" w14:textId="02E3AFCD" w:rsidR="00CD7484" w:rsidRPr="00E4112C" w:rsidRDefault="00CD7484" w:rsidP="00CD7484">
      <w:pPr>
        <w:tabs>
          <w:tab w:val="left" w:pos="720"/>
        </w:tabs>
        <w:spacing w:after="60" w:line="240" w:lineRule="auto"/>
        <w:jc w:val="both"/>
        <w:outlineLvl w:val="3"/>
        <w:rPr>
          <w:rFonts w:ascii="Times New Roman" w:eastAsia="Times New Roman" w:hAnsi="Times New Roman" w:cs="Times New Roman"/>
          <w:bCs/>
          <w:iCs/>
          <w:color w:val="000000"/>
          <w:kern w:val="0"/>
          <w:sz w:val="20"/>
          <w:szCs w:val="20"/>
          <w:lang w:val="es-ES" w:bidi="ar-SA"/>
          <w14:ligatures w14:val="none"/>
        </w:rPr>
      </w:pPr>
      <w:r w:rsidRPr="00E4112C">
        <w:rPr>
          <w:rFonts w:ascii="Times New Roman" w:eastAsia="Times New Roman" w:hAnsi="Times New Roman" w:cs="Times New Roman"/>
          <w:b/>
          <w:i/>
          <w:color w:val="000000"/>
          <w:kern w:val="0"/>
          <w:sz w:val="20"/>
          <w:szCs w:val="20"/>
          <w:lang w:val="es-ES" w:bidi="ar-SA"/>
          <w14:ligatures w14:val="none"/>
        </w:rPr>
        <w:t>Riscos relacionados com Resgates Voluntários:</w:t>
      </w:r>
      <w:r w:rsidRPr="00E4112C">
        <w:rPr>
          <w:rFonts w:ascii="Times New Roman" w:eastAsia="Times New Roman" w:hAnsi="Times New Roman" w:cs="Times New Roman"/>
          <w:bCs/>
          <w:iCs/>
          <w:color w:val="000000"/>
          <w:kern w:val="0"/>
          <w:sz w:val="20"/>
          <w:szCs w:val="20"/>
          <w:lang w:val="es-ES" w:bidi="ar-SA"/>
          <w14:ligatures w14:val="none"/>
        </w:rPr>
        <w:t xml:space="preserve"> Os investidores nas Obrigações têm o direito de solicitar o Resgate Voluntário e resgatar as Obrigações junto do Emitente contra o pagamento do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Criptomoeda. No entanto, os investidores podem não conseguir usar esse direito se não fornecerem informações suficientes ao Emitente, de acordo com os Termos e Condições. Além disso, se os Titulares das Obrigações exercerem o seu direito de Resgate Voluntário e solicitarem o pagamento em dinheiro, as obrigações do Emitente de remeter USD para tal Titular das Obrigações após a entrega das Obrigações relevantes ao Emitente constituem obrigações não garantidas do Emitente. Apenas as obrigações de liquidação relacionadas com o Resgate Voluntário com liquidação física (as "</w:t>
      </w:r>
      <w:r w:rsidRPr="00E4112C">
        <w:rPr>
          <w:rFonts w:ascii="Times New Roman" w:eastAsia="Times New Roman" w:hAnsi="Times New Roman" w:cs="Times New Roman"/>
          <w:b/>
          <w:iCs/>
          <w:color w:val="000000"/>
          <w:kern w:val="0"/>
          <w:sz w:val="20"/>
          <w:szCs w:val="20"/>
          <w:lang w:val="es-ES" w:bidi="ar-SA"/>
          <w14:ligatures w14:val="none"/>
        </w:rPr>
        <w:t>Obrigações de Resgate Garantidas</w:t>
      </w:r>
      <w:r w:rsidRPr="00E4112C">
        <w:rPr>
          <w:rFonts w:ascii="Times New Roman" w:eastAsia="Times New Roman" w:hAnsi="Times New Roman" w:cs="Times New Roman"/>
          <w:bCs/>
          <w:iCs/>
          <w:color w:val="000000"/>
          <w:kern w:val="0"/>
          <w:sz w:val="20"/>
          <w:szCs w:val="20"/>
          <w:lang w:val="es-ES" w:bidi="ar-SA"/>
          <w14:ligatures w14:val="none"/>
        </w:rPr>
        <w:t>") constituem obrigações garantidas do Emitente. Os pedidos de um Titular das Obrigações por pagamentos em dinheiro devido ao Resgate Voluntário com liquidação em dinheiro só serão liquidados após o Titular das Obrigações relevantes ter entregado as Obrigações ao Emitente e, durante o período desde a entrega das Obrigações até o pagamento efetivo em USD, o Titular das Obrigações relevante não será mais o proprietário da Obrigação, nem terá um pedido garantido contra o Emitente.</w:t>
      </w:r>
    </w:p>
    <w:p w14:paraId="0DC95330" w14:textId="6F38DD55" w:rsidR="00CD7484" w:rsidRPr="00E4112C" w:rsidRDefault="00CD7484" w:rsidP="00CD7484">
      <w:pPr>
        <w:tabs>
          <w:tab w:val="left" w:pos="720"/>
        </w:tabs>
        <w:spacing w:after="60" w:line="240" w:lineRule="auto"/>
        <w:jc w:val="both"/>
        <w:outlineLvl w:val="3"/>
        <w:rPr>
          <w:rFonts w:ascii="Times New Roman" w:eastAsia="Times New Roman" w:hAnsi="Times New Roman" w:cs="Times New Roman"/>
          <w:bCs/>
          <w:iCs/>
          <w:color w:val="000000"/>
          <w:kern w:val="0"/>
          <w:sz w:val="20"/>
          <w:szCs w:val="20"/>
          <w:lang w:val="es-ES" w:bidi="ar-SA"/>
          <w14:ligatures w14:val="none"/>
        </w:rPr>
      </w:pPr>
      <w:r w:rsidRPr="00E4112C">
        <w:rPr>
          <w:rFonts w:ascii="Times New Roman" w:eastAsia="Times New Roman" w:hAnsi="Times New Roman" w:cs="Times New Roman"/>
          <w:b/>
          <w:i/>
          <w:color w:val="000000"/>
          <w:kern w:val="0"/>
          <w:sz w:val="20"/>
          <w:szCs w:val="20"/>
          <w:lang w:val="es-ES" w:bidi="ar-SA"/>
          <w14:ligatures w14:val="none"/>
        </w:rPr>
        <w:t>Resgate Obrigatório:</w:t>
      </w:r>
      <w:r w:rsidRPr="00E4112C">
        <w:rPr>
          <w:rFonts w:ascii="Times New Roman" w:eastAsia="Times New Roman" w:hAnsi="Times New Roman" w:cs="Times New Roman"/>
          <w:bCs/>
          <w:iCs/>
          <w:color w:val="000000"/>
          <w:kern w:val="0"/>
          <w:sz w:val="20"/>
          <w:szCs w:val="20"/>
          <w:lang w:val="es-ES" w:bidi="ar-SA"/>
          <w14:ligatures w14:val="none"/>
        </w:rPr>
        <w:t xml:space="preserve"> Em caso de ocorrência de certos eventos especificados nos Termos e Condições, o Emitente pode (mas não é obrigado) a qualquer momento, a seu exclusivo e absoluto critério, optar por encerrar e resgatar todas, mas não algumas, das Obrigações pelo seu preço de resgate obrigatório, que é (i) um montante igual ao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 xml:space="preserve">Criptomoeda; ou (ii) se um Titular das Obrigações optar pelo resgate em dinheiro, os proventos do Procedimento de Execução de Criptomoeda relacionados com o montante da Criptomoeda equivalente ao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Criptomoeda na data de resgate obrigatório relevante, menos qualquer taxa razoável de terceiros relacionada com o resgate das Obrigações, (o "</w:t>
      </w:r>
      <w:r w:rsidRPr="00E4112C">
        <w:rPr>
          <w:rFonts w:ascii="Times New Roman" w:eastAsia="Times New Roman" w:hAnsi="Times New Roman" w:cs="Times New Roman"/>
          <w:b/>
          <w:iCs/>
          <w:color w:val="000000"/>
          <w:kern w:val="0"/>
          <w:sz w:val="20"/>
          <w:szCs w:val="20"/>
          <w:lang w:val="es-ES" w:bidi="ar-SA"/>
          <w14:ligatures w14:val="none"/>
        </w:rPr>
        <w:t>Preço de Resgate Obrigatório</w:t>
      </w:r>
      <w:r w:rsidRPr="00E4112C">
        <w:rPr>
          <w:rFonts w:ascii="Times New Roman" w:eastAsia="Times New Roman" w:hAnsi="Times New Roman" w:cs="Times New Roman"/>
          <w:bCs/>
          <w:iCs/>
          <w:color w:val="000000"/>
          <w:kern w:val="0"/>
          <w:sz w:val="20"/>
          <w:szCs w:val="20"/>
          <w:lang w:val="es-ES" w:bidi="ar-SA"/>
          <w14:ligatures w14:val="none"/>
        </w:rPr>
        <w:t>"). Ao exercer tal discrição, o Emitente não é obrigado a ter em conta os interesses dos Titulares das Obrigações, e os Titulares das Obrigações podem receber menos, ou substancialmente menos, do que seu investimento inicial. O Preço de Resgate Obrigatório das Obrigações resgatadas em dinheiro pode ser menor ou substancialmente menor do que o preço equivalente em Criptomoeda, pois o Emitente tentará vender a Criptomoeda usando o Procedimento de Execução de Criptomoeda, e todos os riscos relacionados à venda da Criptomoeda, como descrito acima, se aplicam. Além disso, o resgate obrigatório pode resultar na alienação efetiva das Obrigações para fins fiscais por alguns ou todos os Titulares das Obrigações em uma data anterior à planejada ou antecipada, o que pode resultar em um tratamento fiscal menos benéfico do investimento nas Obrigações para tais Titulares das Obrigações do que de outra forma estaria disponível caso o investimento fosse mantido por um período de tempo mais longo.</w:t>
      </w:r>
    </w:p>
    <w:p w14:paraId="7F8914D4" w14:textId="40F065DF" w:rsidR="00CD7484" w:rsidRPr="00E4112C" w:rsidRDefault="00CD7484" w:rsidP="00CD7484">
      <w:pPr>
        <w:tabs>
          <w:tab w:val="left" w:pos="720"/>
        </w:tabs>
        <w:spacing w:after="60" w:line="240" w:lineRule="auto"/>
        <w:jc w:val="both"/>
        <w:outlineLvl w:val="3"/>
        <w:rPr>
          <w:rFonts w:ascii="Times New Roman" w:eastAsia="Times New Roman" w:hAnsi="Times New Roman" w:cs="Times New Roman"/>
          <w:bCs/>
          <w:iCs/>
          <w:color w:val="000000"/>
          <w:kern w:val="0"/>
          <w:sz w:val="20"/>
          <w:szCs w:val="20"/>
          <w:lang w:val="es-ES" w:bidi="ar-SA"/>
          <w14:ligatures w14:val="none"/>
        </w:rPr>
      </w:pPr>
      <w:r w:rsidRPr="00E4112C">
        <w:rPr>
          <w:rFonts w:ascii="Times New Roman" w:eastAsia="Times New Roman" w:hAnsi="Times New Roman" w:cs="Times New Roman"/>
          <w:b/>
          <w:i/>
          <w:color w:val="000000"/>
          <w:kern w:val="0"/>
          <w:sz w:val="20"/>
          <w:szCs w:val="20"/>
          <w:lang w:val="es-ES" w:bidi="ar-SA"/>
          <w14:ligatures w14:val="none"/>
        </w:rPr>
        <w:t>Riscos em relação a Eventos de Ajuste:</w:t>
      </w:r>
      <w:r w:rsidRPr="00E4112C">
        <w:rPr>
          <w:rFonts w:ascii="Times New Roman" w:eastAsia="Times New Roman" w:hAnsi="Times New Roman" w:cs="Times New Roman"/>
          <w:bCs/>
          <w:iCs/>
          <w:color w:val="000000"/>
          <w:kern w:val="0"/>
          <w:sz w:val="20"/>
          <w:szCs w:val="20"/>
          <w:lang w:val="es-ES" w:bidi="ar-SA"/>
          <w14:ligatures w14:val="none"/>
        </w:rPr>
        <w:t xml:space="preserve"> Na ocorrência de certos eventos em relação à Criptomoeda subjacente que afetam a Criptomoeda subjacente e/ou 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 xml:space="preserve">Criptomoeda causando a necessidade de ajustes à Criptomoeda subjacente e/ou ao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Criptomoeda (cada um, um "</w:t>
      </w:r>
      <w:r w:rsidRPr="00E4112C">
        <w:rPr>
          <w:rFonts w:ascii="Times New Roman" w:eastAsia="Times New Roman" w:hAnsi="Times New Roman" w:cs="Times New Roman"/>
          <w:b/>
          <w:iCs/>
          <w:color w:val="000000"/>
          <w:kern w:val="0"/>
          <w:sz w:val="20"/>
          <w:szCs w:val="20"/>
          <w:lang w:val="es-ES" w:bidi="ar-SA"/>
          <w14:ligatures w14:val="none"/>
        </w:rPr>
        <w:t>Evento de Ajuste</w:t>
      </w:r>
      <w:r w:rsidRPr="00E4112C">
        <w:rPr>
          <w:rFonts w:ascii="Times New Roman" w:eastAsia="Times New Roman" w:hAnsi="Times New Roman" w:cs="Times New Roman"/>
          <w:bCs/>
          <w:iCs/>
          <w:color w:val="000000"/>
          <w:kern w:val="0"/>
          <w:sz w:val="20"/>
          <w:szCs w:val="20"/>
          <w:lang w:val="es-ES" w:bidi="ar-SA"/>
          <w14:ligatures w14:val="none"/>
        </w:rPr>
        <w:t xml:space="preserve">"), o Emitente deverá, se considerar apropriado em sua opinião (i) fazer um ajuste do </w:t>
      </w:r>
      <w:r w:rsidR="00387840" w:rsidRPr="00E4112C">
        <w:rPr>
          <w:rFonts w:ascii="Times New Roman" w:eastAsia="Times New Roman" w:hAnsi="Times New Roman" w:cs="Times New Roman"/>
          <w:bCs/>
          <w:iCs/>
          <w:color w:val="000000"/>
          <w:kern w:val="0"/>
          <w:sz w:val="20"/>
          <w:szCs w:val="20"/>
          <w:lang w:val="es-ES" w:bidi="ar-SA"/>
          <w14:ligatures w14:val="none"/>
        </w:rPr>
        <w:t>Direito á</w:t>
      </w:r>
      <w:r w:rsidRPr="00E4112C">
        <w:rPr>
          <w:rFonts w:ascii="Times New Roman" w:eastAsia="Times New Roman" w:hAnsi="Times New Roman" w:cs="Times New Roman"/>
          <w:bCs/>
          <w:iCs/>
          <w:color w:val="000000"/>
          <w:kern w:val="0"/>
          <w:sz w:val="20"/>
          <w:szCs w:val="20"/>
          <w:lang w:val="es-ES" w:bidi="ar-SA"/>
          <w14:ligatures w14:val="none"/>
        </w:rPr>
        <w:t>Criptomoeda para contabilizar o efeito econômico sobre as Obrigações de tais eventos, (ii) suspender os reequilíbrios programados do Índice, ou (iii) substituir o Índice subjacente relevante por um novo Índice semelhante. Dependendo da ação específica tomada pelo Emitente em resposta a um Evento de Ajuste, o valor dos Direitos a Criptomoeda e das Obrigações pode se desenvolver de maneira diferente e o retorno para os Titulares das Obrigações pode ser menor (ou consideravelmente menor) do que teria sido o caso se o Evento de Ajuste não tivesse ocorrido.</w:t>
      </w:r>
    </w:p>
    <w:p w14:paraId="490DD108" w14:textId="77777777" w:rsidR="00CD7484" w:rsidRPr="00E4112C" w:rsidRDefault="00CD7484" w:rsidP="007C1676">
      <w:pPr>
        <w:tabs>
          <w:tab w:val="left" w:pos="720"/>
        </w:tabs>
        <w:spacing w:after="180" w:line="240" w:lineRule="auto"/>
        <w:jc w:val="both"/>
        <w:outlineLvl w:val="3"/>
        <w:rPr>
          <w:rFonts w:ascii="Times New Roman" w:eastAsia="Times New Roman" w:hAnsi="Times New Roman" w:cs="Times New Roman"/>
          <w:bCs/>
          <w:iCs/>
          <w:color w:val="000000"/>
          <w:kern w:val="0"/>
          <w:sz w:val="20"/>
          <w:szCs w:val="20"/>
          <w:lang w:val="es-ES" w:bidi="ar-SA"/>
          <w14:ligatures w14:val="none"/>
        </w:rPr>
      </w:pPr>
    </w:p>
    <w:p w14:paraId="4034BA5C" w14:textId="11FDB22B" w:rsidR="00F02796" w:rsidRPr="00E4112C" w:rsidRDefault="00D17B26" w:rsidP="00F466D5">
      <w:pPr>
        <w:spacing w:after="60" w:line="240" w:lineRule="auto"/>
        <w:jc w:val="both"/>
        <w:rPr>
          <w:rFonts w:ascii="Times New Roman" w:eastAsia="MS Mincho" w:hAnsi="Times New Roman" w:cs="Times New Roman"/>
          <w:b/>
          <w:bCs/>
          <w:kern w:val="0"/>
          <w:sz w:val="20"/>
          <w:szCs w:val="20"/>
          <w:lang w:val="es-ES" w:bidi="ar-SA"/>
          <w14:ligatures w14:val="none"/>
        </w:rPr>
      </w:pPr>
      <w:r w:rsidRPr="00E4112C">
        <w:rPr>
          <w:rFonts w:ascii="Times New Roman" w:eastAsia="MS Mincho" w:hAnsi="Times New Roman" w:cs="Times New Roman"/>
          <w:b/>
          <w:bCs/>
          <w:kern w:val="0"/>
          <w:sz w:val="20"/>
          <w:szCs w:val="20"/>
          <w:lang w:val="es-ES" w:bidi="ar-SA"/>
          <w14:ligatures w14:val="none"/>
        </w:rPr>
        <w:lastRenderedPageBreak/>
        <w:t xml:space="preserve">Riscos relacionados com a Segurança das Obrigações </w:t>
      </w:r>
    </w:p>
    <w:p w14:paraId="1AE5D9F0" w14:textId="6E294479" w:rsidR="00D17B26" w:rsidRPr="00E4112C" w:rsidRDefault="00D17B26" w:rsidP="00F466D5">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A segurança concedida para garantir as Obrigações pode ser inexequível ou a execução da segurança pode ser atrasada:</w:t>
      </w:r>
      <w:r w:rsidRPr="00E4112C">
        <w:rPr>
          <w:rFonts w:ascii="Times New Roman" w:eastAsia="MS Mincho" w:hAnsi="Times New Roman" w:cs="Times New Roman"/>
          <w:kern w:val="0"/>
          <w:sz w:val="20"/>
          <w:szCs w:val="20"/>
          <w:lang w:val="es-ES" w:bidi="ar-SA"/>
          <w14:ligatures w14:val="none"/>
        </w:rPr>
        <w:t xml:space="preserve"> O Emitente comprometeu-se (sujeito a certas exceções) a ter um montante em Criptomoeda igual ou superior ao Montante das Obrigações Garantidas sempre depositado com o Depositário, e a ter criado um interesse de segurança em relação aos direitos e reivindicações decorrentes em conexão com a Carteira de Depositário a favor dos Titulares das Obrigações. Esses arranjos de segurança podem não ser suficientes para proteger os Titulares das Obrigações no evento da falência ou liquidação do Emitente ou do Depositário devido a várias razões.</w:t>
      </w:r>
    </w:p>
    <w:p w14:paraId="0098054B" w14:textId="77777777" w:rsidR="00F02796" w:rsidRPr="00E4112C" w:rsidRDefault="00D17B26" w:rsidP="00F466D5">
      <w:pPr>
        <w:spacing w:after="60" w:line="240" w:lineRule="auto"/>
        <w:jc w:val="both"/>
        <w:rPr>
          <w:rFonts w:ascii="Times New Roman" w:eastAsia="MS Mincho" w:hAnsi="Times New Roman" w:cs="Times New Roman"/>
          <w:b/>
          <w:bCs/>
          <w:kern w:val="0"/>
          <w:sz w:val="20"/>
          <w:szCs w:val="20"/>
          <w:lang w:val="es-ES" w:bidi="ar-SA"/>
          <w14:ligatures w14:val="none"/>
        </w:rPr>
      </w:pPr>
      <w:r w:rsidRPr="00E4112C">
        <w:rPr>
          <w:rFonts w:ascii="Times New Roman" w:eastAsia="MS Mincho" w:hAnsi="Times New Roman" w:cs="Times New Roman"/>
          <w:b/>
          <w:bCs/>
          <w:kern w:val="0"/>
          <w:sz w:val="20"/>
          <w:szCs w:val="20"/>
          <w:lang w:val="es-ES" w:bidi="ar-SA"/>
          <w14:ligatures w14:val="none"/>
        </w:rPr>
        <w:t xml:space="preserve">Riscos relacionados ao ETH como Criptomoeda subjacente </w:t>
      </w:r>
    </w:p>
    <w:p w14:paraId="7EE68D72" w14:textId="4A24CB4C" w:rsidR="00D17B26" w:rsidRPr="00E4112C" w:rsidRDefault="00D17B26" w:rsidP="00F466D5">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Volatilidade de preço da Criptomoeda:</w:t>
      </w:r>
      <w:r w:rsidRPr="00E4112C">
        <w:rPr>
          <w:rFonts w:ascii="Times New Roman" w:eastAsia="MS Mincho" w:hAnsi="Times New Roman" w:cs="Times New Roman"/>
          <w:kern w:val="0"/>
          <w:sz w:val="20"/>
          <w:szCs w:val="20"/>
          <w:lang w:val="es-ES" w:bidi="ar-SA"/>
          <w14:ligatures w14:val="none"/>
        </w:rPr>
        <w:t xml:space="preserve"> O valor das Obrigações é afetado pelo preço da Criptomoeda subjacente. O preço da Criptomoeda flutua amplamente e, por exemplo, pode ser impactado por eventos políticos, econômicos ou financeiros globais e regionais, eventos regulatórios ou declarações de reguladores, negociações de investimento, hedge ou outras atividades por uma ampla gama de participantes do mercado, bifurcações em protocolos subjacentes, interrupções na infraestrutura ou meios pelos quais os ativos cripto são produzidos, distribuídos, armazenados e negociados. O preço da Criptomoeda também pode mudar devido à mudança da confiança dos investidores nas perspectivas futuras da classe de ativos. As características da Criptomoeda e a divergência de padrões regulatórios aplicáveis criam o potencial para abuso de mercado e podem levar a alta volatilidade de preços. Os montantes recebidos pelos Titulares das Obrigações (i) ao resgatar as Obrigações em USD, nos casos em que os Titulares das Obrigações são impedidos de receber a Criptomoeda por razões legais ou regulatórias; ou (ii) após a venda na bolsa de valores depende do desempenho do preço da Criptomoeda e da liquidez disponível.</w:t>
      </w:r>
    </w:p>
    <w:p w14:paraId="6FCC7943" w14:textId="77777777" w:rsidR="00F02796" w:rsidRPr="00E4112C" w:rsidRDefault="00D17B26" w:rsidP="00F466D5">
      <w:pPr>
        <w:spacing w:after="60" w:line="240" w:lineRule="auto"/>
        <w:jc w:val="both"/>
        <w:rPr>
          <w:rFonts w:ascii="Times New Roman" w:eastAsia="MS Mincho" w:hAnsi="Times New Roman" w:cs="Times New Roman"/>
          <w:b/>
          <w:bCs/>
          <w:kern w:val="0"/>
          <w:sz w:val="20"/>
          <w:szCs w:val="20"/>
          <w:lang w:val="es-ES" w:bidi="ar-SA"/>
          <w14:ligatures w14:val="none"/>
        </w:rPr>
      </w:pPr>
      <w:r w:rsidRPr="00E4112C">
        <w:rPr>
          <w:rFonts w:ascii="Times New Roman" w:eastAsia="MS Mincho" w:hAnsi="Times New Roman" w:cs="Times New Roman"/>
          <w:b/>
          <w:bCs/>
          <w:kern w:val="0"/>
          <w:sz w:val="20"/>
          <w:szCs w:val="20"/>
          <w:lang w:val="es-ES" w:bidi="ar-SA"/>
          <w14:ligatures w14:val="none"/>
        </w:rPr>
        <w:t xml:space="preserve">Riscos relacionados à admissão das Obrigações à negociação </w:t>
      </w:r>
    </w:p>
    <w:p w14:paraId="6DCD56A2" w14:textId="630FCA30" w:rsidR="00D17B26" w:rsidRPr="00E4112C" w:rsidRDefault="00D17B26" w:rsidP="00F466D5">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Riscos relacionados à admissão à negociação:</w:t>
      </w:r>
      <w:r w:rsidRPr="00E4112C">
        <w:rPr>
          <w:rFonts w:ascii="Times New Roman" w:eastAsia="MS Mincho" w:hAnsi="Times New Roman" w:cs="Times New Roman"/>
          <w:kern w:val="0"/>
          <w:sz w:val="20"/>
          <w:szCs w:val="20"/>
          <w:lang w:val="es-ES" w:bidi="ar-SA"/>
          <w14:ligatures w14:val="none"/>
        </w:rPr>
        <w:t xml:space="preserve"> O preço de negociação das Obrigações pode diminuir se a solvência do Emitente ou partes associadas piorar ou for percebida como piorando, independentemente do fato de que as Obrigações são garantidas pelos ativos reais da Criptomoeda. O risco é que terceiros possam estar dispostos a comprar Obrigações apenas com um desconto substancial em relação ao preço da Criptomoeda, o que, por sua vez, pode resultar na perda do investimento do Titular das Obrigações nas Obrigações.</w:t>
      </w:r>
    </w:p>
    <w:p w14:paraId="62B6BF6A" w14:textId="77777777" w:rsidR="00F02796" w:rsidRPr="00E4112C" w:rsidRDefault="00D17B26" w:rsidP="00F466D5">
      <w:pPr>
        <w:spacing w:after="60" w:line="240" w:lineRule="auto"/>
        <w:jc w:val="both"/>
        <w:rPr>
          <w:rFonts w:ascii="Times New Roman" w:eastAsia="MS Mincho" w:hAnsi="Times New Roman" w:cs="Times New Roman"/>
          <w:b/>
          <w:bCs/>
          <w:kern w:val="0"/>
          <w:sz w:val="20"/>
          <w:szCs w:val="20"/>
          <w:lang w:val="es-ES" w:bidi="ar-SA"/>
          <w14:ligatures w14:val="none"/>
        </w:rPr>
      </w:pPr>
      <w:r w:rsidRPr="00E4112C">
        <w:rPr>
          <w:rFonts w:ascii="Times New Roman" w:eastAsia="MS Mincho" w:hAnsi="Times New Roman" w:cs="Times New Roman"/>
          <w:b/>
          <w:bCs/>
          <w:kern w:val="0"/>
          <w:sz w:val="20"/>
          <w:szCs w:val="20"/>
          <w:lang w:val="es-ES" w:bidi="ar-SA"/>
          <w14:ligatures w14:val="none"/>
        </w:rPr>
        <w:t>Riscos de tributação relacionados às Obrigações</w:t>
      </w:r>
    </w:p>
    <w:p w14:paraId="336AA8A9" w14:textId="33F0866C" w:rsidR="00D17B26" w:rsidRPr="00E4112C" w:rsidRDefault="00D17B26" w:rsidP="00F466D5">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Imposto sobre Transações Financeiras</w:t>
      </w:r>
      <w:r w:rsidRPr="00E4112C">
        <w:rPr>
          <w:rFonts w:ascii="Times New Roman" w:eastAsia="MS Mincho" w:hAnsi="Times New Roman" w:cs="Times New Roman"/>
          <w:kern w:val="0"/>
          <w:sz w:val="20"/>
          <w:szCs w:val="20"/>
          <w:lang w:val="es-ES" w:bidi="ar-SA"/>
          <w14:ligatures w14:val="none"/>
        </w:rPr>
        <w:t>: Em 2013, a Comissão Europeia publicou uma proposta (a "</w:t>
      </w:r>
      <w:r w:rsidRPr="00E4112C">
        <w:rPr>
          <w:rFonts w:ascii="Times New Roman" w:eastAsia="MS Mincho" w:hAnsi="Times New Roman" w:cs="Times New Roman"/>
          <w:b/>
          <w:bCs/>
          <w:kern w:val="0"/>
          <w:sz w:val="20"/>
          <w:szCs w:val="20"/>
          <w:lang w:val="es-ES" w:bidi="ar-SA"/>
          <w14:ligatures w14:val="none"/>
        </w:rPr>
        <w:t>Proposta da Comissão</w:t>
      </w:r>
      <w:r w:rsidRPr="00E4112C">
        <w:rPr>
          <w:rFonts w:ascii="Times New Roman" w:eastAsia="MS Mincho" w:hAnsi="Times New Roman" w:cs="Times New Roman"/>
          <w:kern w:val="0"/>
          <w:sz w:val="20"/>
          <w:szCs w:val="20"/>
          <w:lang w:val="es-ES" w:bidi="ar-SA"/>
          <w14:ligatures w14:val="none"/>
        </w:rPr>
        <w:t>") para uma Diretiva de um imposto comum sobre transações financeiras (o "</w:t>
      </w:r>
      <w:r w:rsidRPr="00E4112C">
        <w:rPr>
          <w:rFonts w:ascii="Times New Roman" w:eastAsia="MS Mincho" w:hAnsi="Times New Roman" w:cs="Times New Roman"/>
          <w:b/>
          <w:bCs/>
          <w:kern w:val="0"/>
          <w:sz w:val="20"/>
          <w:szCs w:val="20"/>
          <w:lang w:val="es-ES" w:bidi="ar-SA"/>
          <w14:ligatures w14:val="none"/>
        </w:rPr>
        <w:t>FTT</w:t>
      </w:r>
      <w:r w:rsidRPr="00E4112C">
        <w:rPr>
          <w:rFonts w:ascii="Times New Roman" w:eastAsia="MS Mincho" w:hAnsi="Times New Roman" w:cs="Times New Roman"/>
          <w:kern w:val="0"/>
          <w:sz w:val="20"/>
          <w:szCs w:val="20"/>
          <w:lang w:val="es-ES" w:bidi="ar-SA"/>
          <w14:ligatures w14:val="none"/>
        </w:rPr>
        <w:t>"). De acordo com a Proposta da Comissão, o FTT deve ser implementado em certos Estados-Membros da UE, incluindo a Alemanha. O risco específico é que o FTT possa resultar em um tratamento tributário negativo aplicado às Obrigações, o que, por sua vez, pode ter um efeito prejudicial no retorno sobre o investimento do Titular das Obrigações nas Obrigações.</w:t>
      </w:r>
    </w:p>
    <w:p w14:paraId="4090CE1B" w14:textId="23D96382" w:rsidR="007C1676" w:rsidRPr="00E4112C" w:rsidRDefault="00A21206" w:rsidP="007C1676">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es-ES" w:bidi="ar-SA"/>
          <w14:ligatures w14:val="none"/>
        </w:rPr>
      </w:pPr>
      <w:r w:rsidRPr="00E4112C">
        <w:rPr>
          <w:rFonts w:ascii="Times New Roman" w:eastAsia="Times New Roman" w:hAnsi="Times New Roman" w:cs="Times New Roman"/>
          <w:b/>
          <w:bCs/>
          <w:caps/>
          <w:color w:val="000000"/>
          <w:kern w:val="0"/>
          <w:sz w:val="20"/>
          <w:szCs w:val="20"/>
          <w:lang w:val="es-ES" w:bidi="ar-SA"/>
          <w14:ligatures w14:val="none"/>
        </w:rPr>
        <w:t>INFORMAÇÃO IMPORTANTE SOBRE A OFERTA DE TÍTULOS AO PÚBLICO E ADMISSÃO À NEGOCIAÇÃO NUM MERCADO REGULADO</w:t>
      </w:r>
    </w:p>
    <w:p w14:paraId="0E3FC1F2" w14:textId="71544B58" w:rsidR="007C1676" w:rsidRPr="00E4112C" w:rsidRDefault="00953234"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proofErr w:type="gramStart"/>
      <w:r w:rsidRPr="00E4112C">
        <w:rPr>
          <w:rFonts w:ascii="Times New Roman" w:eastAsia="Times New Roman" w:hAnsi="Times New Roman" w:cs="Times New Roman"/>
          <w:b/>
          <w:bCs/>
          <w:color w:val="000000"/>
          <w:kern w:val="0"/>
          <w:sz w:val="20"/>
          <w:szCs w:val="20"/>
          <w:lang w:val="es-ES" w:bidi="ar-SA"/>
          <w14:ligatures w14:val="none"/>
        </w:rPr>
        <w:t>Em que condições e prazos posso investir neste título?</w:t>
      </w:r>
      <w:proofErr w:type="gramEnd"/>
    </w:p>
    <w:p w14:paraId="201BAD10" w14:textId="27455477" w:rsidR="00464984" w:rsidRPr="00E4112C" w:rsidRDefault="00464984" w:rsidP="007221BE">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 xml:space="preserve">Compra das Obrigações: </w:t>
      </w:r>
      <w:r w:rsidRPr="00E4112C">
        <w:rPr>
          <w:rFonts w:ascii="Times New Roman" w:eastAsia="MS Mincho" w:hAnsi="Times New Roman" w:cs="Times New Roman"/>
          <w:kern w:val="0"/>
          <w:sz w:val="20"/>
          <w:szCs w:val="20"/>
          <w:lang w:val="es-ES" w:bidi="ar-SA"/>
          <w14:ligatures w14:val="none"/>
        </w:rPr>
        <w:t>No mercado primário, o Emitente venderá Obrigações apenas a Participantes Autorizados, e tais Obrigações só podem ser adquiridas com Criptomoeda. Investidores que não sejam Participantes Autorizados podem adquirir as Obrigações no mercado secundário (i) de um Participante Autorizado, em conformidade com restrições de venda aplicáveis, (ii) através de uma bolsa de valores pelo seu corretor ou (iii) de qualquer pessoa em transações de balcão. Nesse contexto</w:t>
      </w:r>
      <w:r w:rsidRPr="00E72AE2">
        <w:rPr>
          <w:rFonts w:ascii="Times New Roman" w:eastAsia="MS Mincho" w:hAnsi="Times New Roman" w:cs="Times New Roman"/>
          <w:kern w:val="0"/>
          <w:sz w:val="20"/>
          <w:szCs w:val="20"/>
          <w:lang w:val="es-ES" w:bidi="ar-SA"/>
          <w14:ligatures w14:val="none"/>
        </w:rPr>
        <w:t>, Flow Traders B.V., Jane Street Financial Limited e Goldenberg Hehmeyer LLP foram nomeados como Participantes Autorizados</w:t>
      </w:r>
      <w:r w:rsidRPr="00E4112C">
        <w:rPr>
          <w:rFonts w:ascii="Times New Roman" w:eastAsia="MS Mincho" w:hAnsi="Times New Roman" w:cs="Times New Roman"/>
          <w:kern w:val="0"/>
          <w:sz w:val="20"/>
          <w:szCs w:val="20"/>
          <w:lang w:val="es-ES" w:bidi="ar-SA"/>
          <w14:ligatures w14:val="none"/>
        </w:rPr>
        <w:t xml:space="preserve">. Espera-se que o período da oferta comece em </w:t>
      </w:r>
      <w:r w:rsidR="00A105DA" w:rsidRPr="00E4112C">
        <w:rPr>
          <w:rFonts w:ascii="Times New Roman" w:eastAsia="MS Mincho" w:hAnsi="Times New Roman" w:cs="Times New Roman"/>
          <w:kern w:val="0"/>
          <w:sz w:val="20"/>
          <w:szCs w:val="20"/>
          <w:lang w:val="es-ES" w:bidi="ar-SA"/>
          <w14:ligatures w14:val="none"/>
        </w:rPr>
        <w:t>24</w:t>
      </w:r>
      <w:r w:rsidRPr="00E4112C">
        <w:rPr>
          <w:rFonts w:ascii="Times New Roman" w:eastAsia="MS Mincho" w:hAnsi="Times New Roman" w:cs="Times New Roman"/>
          <w:kern w:val="0"/>
          <w:sz w:val="20"/>
          <w:szCs w:val="20"/>
          <w:lang w:val="es-ES" w:bidi="ar-SA"/>
          <w14:ligatures w14:val="none"/>
        </w:rPr>
        <w:t xml:space="preserve"> de janeiro de 2024 e permaneça aberto até a data mais tardia entre (i) a data de expiração do Prospeto de Base e (ii) a expiração da validade de um novo prospeto de base que suceda imediatamente o Prospeto de Base, sujeito a uma redução do período. Uma oferta ao público pode ser feita nos países especificados em "1.1 Introdução e avisos", sujeita a restrições de venda aplicáveis. </w:t>
      </w:r>
      <w:r w:rsidRPr="00E72AE2">
        <w:rPr>
          <w:rFonts w:ascii="Times New Roman" w:eastAsia="MS Mincho" w:hAnsi="Times New Roman" w:cs="Times New Roman"/>
          <w:kern w:val="0"/>
          <w:sz w:val="20"/>
          <w:szCs w:val="20"/>
          <w:lang w:val="es-ES" w:bidi="ar-SA"/>
          <w14:ligatures w14:val="none"/>
        </w:rPr>
        <w:t>DRW Europe B.V. também foi nomeada como Participante Autorizado sob o Prospeto de Base, mas não irá vender ou oferecer as Obrigações a investidores. A DRW apenas subscreverá e resgatará as Obrigações para seus próprios propósitos.</w:t>
      </w:r>
    </w:p>
    <w:p w14:paraId="68304AD9" w14:textId="364B4923" w:rsidR="00464984" w:rsidRPr="00E4112C" w:rsidRDefault="00464984" w:rsidP="007221BE">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Condições e detalhes técnicos da Oferta:</w:t>
      </w:r>
      <w:r w:rsidRPr="00E4112C">
        <w:rPr>
          <w:rFonts w:ascii="Times New Roman" w:eastAsia="MS Mincho" w:hAnsi="Times New Roman" w:cs="Times New Roman"/>
          <w:kern w:val="0"/>
          <w:sz w:val="20"/>
          <w:szCs w:val="20"/>
          <w:lang w:val="es-ES" w:bidi="ar-SA"/>
          <w14:ligatures w14:val="none"/>
        </w:rPr>
        <w:t xml:space="preserve"> A oferta não está sujeita a condições ou limites de tempo além do limite de tempo resultante da validade do Prospeto de Base, conforme especificado em "</w:t>
      </w:r>
      <w:r w:rsidRPr="00E4112C">
        <w:rPr>
          <w:rFonts w:ascii="Times New Roman" w:eastAsia="MS Mincho" w:hAnsi="Times New Roman" w:cs="Times New Roman"/>
          <w:i/>
          <w:iCs/>
          <w:kern w:val="0"/>
          <w:sz w:val="20"/>
          <w:szCs w:val="20"/>
          <w:lang w:val="es-ES" w:bidi="ar-SA"/>
          <w14:ligatures w14:val="none"/>
        </w:rPr>
        <w:t>Compra das Obrigações</w:t>
      </w:r>
      <w:r w:rsidRPr="00E4112C">
        <w:rPr>
          <w:rFonts w:ascii="Times New Roman" w:eastAsia="MS Mincho" w:hAnsi="Times New Roman" w:cs="Times New Roman"/>
          <w:kern w:val="0"/>
          <w:sz w:val="20"/>
          <w:szCs w:val="20"/>
          <w:lang w:val="es-ES" w:bidi="ar-SA"/>
          <w14:ligatures w14:val="none"/>
        </w:rPr>
        <w:t xml:space="preserve">". Não há possibilidade de reduzir as subscrições. Não foram especificados montantes mínimos ou máximos de subscrição, no entanto, intermediários financeiros (incluindo Participantes Autorizados) que ofereçam as Obrigações podem determinar montantes mínimos ou máximos de subscrição ao oferecerem as Obrigações a seu exclusivo </w:t>
      </w:r>
      <w:proofErr w:type="gramStart"/>
      <w:r w:rsidRPr="00E4112C">
        <w:rPr>
          <w:rFonts w:ascii="Times New Roman" w:eastAsia="MS Mincho" w:hAnsi="Times New Roman" w:cs="Times New Roman"/>
          <w:kern w:val="0"/>
          <w:sz w:val="20"/>
          <w:szCs w:val="20"/>
          <w:lang w:val="es-ES" w:bidi="ar-SA"/>
          <w14:ligatures w14:val="none"/>
        </w:rPr>
        <w:t>e</w:t>
      </w:r>
      <w:proofErr w:type="gramEnd"/>
      <w:r w:rsidRPr="00E4112C">
        <w:rPr>
          <w:rFonts w:ascii="Times New Roman" w:eastAsia="MS Mincho" w:hAnsi="Times New Roman" w:cs="Times New Roman"/>
          <w:kern w:val="0"/>
          <w:sz w:val="20"/>
          <w:szCs w:val="20"/>
          <w:lang w:val="es-ES" w:bidi="ar-SA"/>
          <w14:ligatures w14:val="none"/>
        </w:rPr>
        <w:t xml:space="preserve"> absoluto critério.</w:t>
      </w:r>
    </w:p>
    <w:p w14:paraId="66EFF54B" w14:textId="2C81CCED" w:rsidR="00464984" w:rsidRPr="00E4112C" w:rsidRDefault="00464984" w:rsidP="007221BE">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As Obrigações podem ser adquiridas no mercado primário com Criptomoeda, </w:t>
      </w:r>
      <w:proofErr w:type="gramStart"/>
      <w:r w:rsidRPr="00E4112C">
        <w:rPr>
          <w:rFonts w:ascii="Times New Roman" w:eastAsia="MS Mincho" w:hAnsi="Times New Roman" w:cs="Times New Roman"/>
          <w:kern w:val="0"/>
          <w:sz w:val="20"/>
          <w:szCs w:val="20"/>
          <w:lang w:val="es-ES" w:bidi="ar-SA"/>
          <w14:ligatures w14:val="none"/>
        </w:rPr>
        <w:t>Euro</w:t>
      </w:r>
      <w:proofErr w:type="gramEnd"/>
      <w:r w:rsidRPr="00E4112C">
        <w:rPr>
          <w:rFonts w:ascii="Times New Roman" w:eastAsia="MS Mincho" w:hAnsi="Times New Roman" w:cs="Times New Roman"/>
          <w:kern w:val="0"/>
          <w:sz w:val="20"/>
          <w:szCs w:val="20"/>
          <w:lang w:val="es-ES" w:bidi="ar-SA"/>
          <w14:ligatures w14:val="none"/>
        </w:rPr>
        <w:t xml:space="preserve">, USD ou qualquer outra moeda fiduciária ou criptomoeda, conforme determinado por cada intermediário financeiro que ofereça as Obrigações. No entanto, Obrigações compradas diretamente do Emitente no mercado primário só podem ser adquiridas com </w:t>
      </w:r>
      <w:r w:rsidRPr="00E4112C">
        <w:rPr>
          <w:rFonts w:ascii="Times New Roman" w:eastAsia="MS Mincho" w:hAnsi="Times New Roman" w:cs="Times New Roman"/>
          <w:kern w:val="0"/>
          <w:sz w:val="20"/>
          <w:szCs w:val="20"/>
          <w:lang w:val="es-ES" w:bidi="ar-SA"/>
          <w14:ligatures w14:val="none"/>
        </w:rPr>
        <w:lastRenderedPageBreak/>
        <w:t>Criptomoeda e apenas por Participantes Autorizados. As Obrigações serão entregues por escrituração através do sistema de compensação e seus bancos mantenedores de contas.</w:t>
      </w:r>
    </w:p>
    <w:p w14:paraId="5D65C2F3" w14:textId="1EA22965" w:rsidR="00464984" w:rsidRPr="00E4112C" w:rsidRDefault="00464984" w:rsidP="007221BE">
      <w:pPr>
        <w:keepNext/>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b/>
          <w:bCs/>
          <w:i/>
          <w:iCs/>
          <w:kern w:val="0"/>
          <w:sz w:val="20"/>
          <w:szCs w:val="20"/>
          <w:lang w:val="es-ES" w:bidi="ar-SA"/>
          <w14:ligatures w14:val="none"/>
        </w:rPr>
        <w:t>Método de determinação do Preço de Emissão:</w:t>
      </w:r>
      <w:r w:rsidRPr="00E4112C">
        <w:rPr>
          <w:rFonts w:ascii="Times New Roman" w:eastAsia="MS Mincho" w:hAnsi="Times New Roman" w:cs="Times New Roman"/>
          <w:kern w:val="0"/>
          <w:sz w:val="20"/>
          <w:szCs w:val="20"/>
          <w:lang w:val="es-ES" w:bidi="ar-SA"/>
          <w14:ligatures w14:val="none"/>
        </w:rPr>
        <w:t xml:space="preserve"> O preço de emissão para Participantes Autorizados é igual à soma dos "Direitos Individuais de Criptomoeda" em relação a cada Criptomoeda específica que compõe o cabaz por Obrigação mais uma taxa de subscrição. O Direito Individual de Criptomoeda será, se o dia relevante ("t" dias após a Data de Emissão) não for um Dia de Reequilíbrio ou um dia imediatamente a seguir ao Dia de Reequilíbrio, determinado de acordo com a seguinte fórmula:</w:t>
      </w:r>
    </w:p>
    <w:p w14:paraId="08176A12" w14:textId="29C627AF" w:rsidR="007C1676" w:rsidRPr="00E4112C" w:rsidRDefault="00000000" w:rsidP="007C1676">
      <w:pPr>
        <w:ind w:left="1418"/>
        <w:jc w:val="center"/>
        <w:rPr>
          <w:rFonts w:ascii="Calibri" w:eastAsia="Calibri" w:hAnsi="Calibri" w:cs="Calibri"/>
          <w:kern w:val="0"/>
          <w:lang w:bidi="ar-SA"/>
          <w14:ligatures w14:val="none"/>
        </w:rPr>
      </w:pPr>
      <m:oMathPara>
        <m:oMath>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SCE</m:t>
              </m:r>
            </m:e>
            <m:sub>
              <m:r>
                <w:rPr>
                  <w:rFonts w:ascii="Cambria Math" w:eastAsia="Calibri" w:hAnsi="Cambria Math" w:cs="Arial"/>
                  <w:kern w:val="0"/>
                  <w:lang w:bidi="ar-SA"/>
                  <w14:ligatures w14:val="none"/>
                </w:rPr>
                <m:t>(t)</m:t>
              </m:r>
            </m:sub>
          </m:sSub>
          <m:r>
            <w:rPr>
              <w:rFonts w:ascii="Cambria Math" w:eastAsia="Calibri" w:hAnsi="Cambria Math" w:cs="Arial"/>
              <w:kern w:val="0"/>
              <w:lang w:bidi="ar-SA"/>
              <w14:ligatures w14:val="none"/>
            </w:rPr>
            <m:t>=</m:t>
          </m:r>
          <m:sSubSup>
            <m:sSubSupPr>
              <m:ctrlPr>
                <w:rPr>
                  <w:rFonts w:ascii="Cambria Math" w:eastAsia="MS PGothic" w:hAnsi="Cambria Math" w:cs="Calibri"/>
                  <w:i/>
                  <w:iCs/>
                  <w:kern w:val="0"/>
                  <w:lang w:val="en-US" w:bidi="ar-SA"/>
                  <w14:ligatures w14:val="none"/>
                </w:rPr>
              </m:ctrlPr>
            </m:sSubSupPr>
            <m:e>
              <m:r>
                <w:rPr>
                  <w:rFonts w:ascii="Cambria Math" w:eastAsia="Calibri" w:hAnsi="Cambria Math" w:cs="Arial"/>
                  <w:kern w:val="0"/>
                  <w:lang w:bidi="ar-SA"/>
                  <w14:ligatures w14:val="none"/>
                </w:rPr>
                <m:t>SCE</m:t>
              </m:r>
            </m:e>
            <m:sub>
              <m:d>
                <m:dPr>
                  <m:ctrlPr>
                    <w:rPr>
                      <w:rFonts w:ascii="Cambria Math" w:eastAsia="MS PGothic" w:hAnsi="Cambria Math" w:cs="Calibri"/>
                      <w:i/>
                      <w:iCs/>
                      <w:kern w:val="0"/>
                      <w:lang w:val="en-US" w:bidi="ar-SA"/>
                      <w14:ligatures w14:val="none"/>
                    </w:rPr>
                  </m:ctrlPr>
                </m:dPr>
                <m:e>
                  <m:r>
                    <w:rPr>
                      <w:rFonts w:ascii="Cambria Math" w:eastAsia="Calibri" w:hAnsi="Cambria Math" w:cs="Arial"/>
                      <w:kern w:val="0"/>
                      <w:lang w:bidi="ar-SA"/>
                      <w14:ligatures w14:val="none"/>
                    </w:rPr>
                    <m:t>t-1</m:t>
                  </m:r>
                </m:e>
              </m:d>
            </m:sub>
            <m:sup>
              <m:r>
                <w:rPr>
                  <w:rFonts w:ascii="Cambria Math" w:eastAsia="Calibri" w:hAnsi="Cambria Math" w:cs="Arial"/>
                  <w:kern w:val="0"/>
                  <w:lang w:bidi="ar-SA"/>
                  <w14:ligatures w14:val="none"/>
                </w:rPr>
                <m:t>i</m:t>
              </m:r>
            </m:sup>
          </m:sSubSup>
          <m:r>
            <w:rPr>
              <w:rFonts w:ascii="Cambria Math" w:eastAsia="Calibri" w:hAnsi="Cambria Math" w:cs="Arial"/>
              <w:kern w:val="0"/>
              <w:lang w:bidi="ar-SA"/>
              <w14:ligatures w14:val="none"/>
            </w:rPr>
            <m:t>*</m:t>
          </m:r>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 xml:space="preserve">1- </m:t>
              </m:r>
              <m:f>
                <m:fPr>
                  <m:ctrlPr>
                    <w:rPr>
                      <w:rFonts w:ascii="Cambria Math" w:eastAsia="MS PGothic" w:hAnsi="Cambria Math" w:cs="Calibri"/>
                      <w:kern w:val="0"/>
                      <w:lang w:val="en-US" w:bidi="ar-SA"/>
                      <w14:ligatures w14:val="none"/>
                    </w:rPr>
                  </m:ctrlPr>
                </m:fPr>
                <m:num>
                  <m:r>
                    <w:rPr>
                      <w:rFonts w:ascii="Cambria Math" w:eastAsia="Calibri" w:hAnsi="Cambria Math" w:cs="Arial"/>
                      <w:kern w:val="0"/>
                      <w:lang w:bidi="ar-SA"/>
                      <w14:ligatures w14:val="none"/>
                    </w:rPr>
                    <m:t>DER</m:t>
                  </m:r>
                </m:num>
                <m:den>
                  <m:r>
                    <w:rPr>
                      <w:rFonts w:ascii="Cambria Math" w:eastAsia="Calibri" w:hAnsi="Cambria Math" w:cs="Arial"/>
                      <w:kern w:val="0"/>
                      <w:lang w:bidi="ar-SA"/>
                      <w14:ligatures w14:val="none"/>
                    </w:rPr>
                    <m:t>365</m:t>
                  </m:r>
                </m:den>
              </m:f>
            </m:e>
          </m:d>
          <m:r>
            <w:rPr>
              <w:rFonts w:ascii="Cambria Math" w:eastAsia="Calibri" w:hAnsi="Cambria Math" w:cs="Arial"/>
              <w:kern w:val="0"/>
              <w:lang w:bidi="ar-SA"/>
              <w14:ligatures w14:val="none"/>
            </w:rPr>
            <m:t>+</m:t>
          </m:r>
          <m:f>
            <m:fPr>
              <m:ctrlPr>
                <w:rPr>
                  <w:rFonts w:ascii="Cambria Math" w:eastAsia="MS PGothic" w:hAnsi="Cambria Math" w:cs="Calibri"/>
                  <w:kern w:val="0"/>
                  <w:lang w:val="en-US" w:bidi="ar-SA"/>
                  <w14:ligatures w14:val="none"/>
                </w:rPr>
              </m:ctrlPr>
            </m:fPr>
            <m:num>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SSR</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t-2</m:t>
                      </m:r>
                    </m:e>
                  </m:d>
                </m:sub>
              </m:sSub>
            </m:num>
            <m:den>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N</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t-1</m:t>
                      </m:r>
                    </m:e>
                  </m:d>
                </m:sub>
              </m:sSub>
            </m:den>
          </m:f>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1-</m:t>
              </m:r>
              <m:sSubSup>
                <m:sSubSupPr>
                  <m:ctrlPr>
                    <w:rPr>
                      <w:rFonts w:ascii="Cambria Math" w:eastAsia="MS PGothic" w:hAnsi="Cambria Math" w:cs="Calibri"/>
                      <w:b/>
                      <w:bCs/>
                      <w:i/>
                      <w:iCs/>
                      <w:kern w:val="0"/>
                      <w:lang w:val="en-US" w:bidi="ar-SA"/>
                      <w14:ligatures w14:val="none"/>
                    </w:rPr>
                  </m:ctrlPr>
                </m:sSubSupPr>
                <m:e>
                  <m:r>
                    <m:rPr>
                      <m:sty m:val="bi"/>
                    </m:rPr>
                    <w:rPr>
                      <w:rFonts w:ascii="Cambria Math" w:eastAsia="Calibri" w:hAnsi="Cambria Math" w:cs="Arial"/>
                      <w:kern w:val="0"/>
                      <w:lang w:bidi="ar-SA"/>
                      <w14:ligatures w14:val="none"/>
                    </w:rPr>
                    <m:t>DSC</m:t>
                  </m:r>
                </m:e>
                <m:sub>
                  <m:r>
                    <m:rPr>
                      <m:sty m:val="bi"/>
                    </m:rPr>
                    <w:rPr>
                      <w:rFonts w:ascii="Cambria Math" w:eastAsia="Calibri" w:hAnsi="Cambria Math" w:cs="Arial"/>
                      <w:kern w:val="0"/>
                      <w:lang w:bidi="ar-SA"/>
                      <w14:ligatures w14:val="none"/>
                    </w:rPr>
                    <m:t>(t)</m:t>
                  </m:r>
                </m:sub>
                <m:sup>
                  <m:r>
                    <m:rPr>
                      <m:sty m:val="bi"/>
                    </m:rPr>
                    <w:rPr>
                      <w:rFonts w:ascii="Cambria Math" w:eastAsia="Calibri" w:hAnsi="Cambria Math" w:cs="Arial"/>
                      <w:kern w:val="0"/>
                      <w:lang w:bidi="ar-SA"/>
                      <w14:ligatures w14:val="none"/>
                    </w:rPr>
                    <m:t>i</m:t>
                  </m:r>
                </m:sup>
              </m:sSubSup>
            </m:e>
          </m:d>
        </m:oMath>
      </m:oMathPara>
    </w:p>
    <w:p w14:paraId="706E0A24" w14:textId="1E86F510" w:rsidR="007C1676" w:rsidRPr="00E4112C" w:rsidRDefault="00D52AC1" w:rsidP="007C1676">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Em que:</w:t>
      </w:r>
    </w:p>
    <w:p w14:paraId="13B3F3F6" w14:textId="77777777" w:rsidR="00D52AC1" w:rsidRPr="00E4112C" w:rsidRDefault="00D52AC1" w:rsidP="007C1676">
      <w:pPr>
        <w:spacing w:after="0" w:line="240" w:lineRule="auto"/>
        <w:jc w:val="both"/>
        <w:rPr>
          <w:rFonts w:ascii="Times New Roman" w:eastAsia="Calibri" w:hAnsi="Times New Roman" w:cs="Times New Roman"/>
          <w:kern w:val="0"/>
          <w:sz w:val="20"/>
          <w:szCs w:val="20"/>
          <w:lang w:val="es-ES" w:eastAsia="en-GB" w:bidi="ar-SA"/>
          <w14:ligatures w14:val="none"/>
        </w:rPr>
      </w:pPr>
    </w:p>
    <w:p w14:paraId="48880B7A" w14:textId="056F0A72"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E4112C">
        <w:rPr>
          <w:rFonts w:ascii="Times New Roman" w:eastAsia="Calibri" w:hAnsi="Times New Roman" w:cs="Times New Roman"/>
          <w:kern w:val="0"/>
          <w:sz w:val="20"/>
          <w:szCs w:val="20"/>
          <w:lang w:val="es-ES" w:eastAsia="en-GB" w:bidi="ar-SA"/>
          <w14:ligatures w14:val="none"/>
        </w:rPr>
        <w:t xml:space="preserve">" </w:t>
      </w:r>
      <w:r w:rsidR="00A1463B" w:rsidRPr="00E4112C">
        <w:rPr>
          <w:rFonts w:ascii="Times New Roman" w:eastAsia="Calibri" w:hAnsi="Times New Roman" w:cs="Times New Roman"/>
          <w:kern w:val="0"/>
          <w:sz w:val="20"/>
          <w:szCs w:val="20"/>
          <w:lang w:val="es-ES" w:eastAsia="en-GB" w:bidi="ar-SA"/>
          <w14:ligatures w14:val="none"/>
        </w:rPr>
        <w:t>significa</w:t>
      </w:r>
      <w:r w:rsidR="001F1C09" w:rsidRPr="00E4112C">
        <w:rPr>
          <w:rFonts w:ascii="Times New Roman" w:eastAsia="Calibri" w:hAnsi="Times New Roman" w:cs="Times New Roman"/>
          <w:kern w:val="0"/>
          <w:sz w:val="20"/>
          <w:szCs w:val="20"/>
          <w:lang w:val="es-ES" w:eastAsia="en-GB" w:bidi="ar-SA"/>
          <w14:ligatures w14:val="none"/>
        </w:rPr>
        <w:t xml:space="preserve"> o Direito de Criptomoeda Única em relação à criptomoeda específica incluída no cabaz (denotada por "i") no dia "t" dias após a Data de Emissão</w:t>
      </w:r>
      <w:r w:rsidRPr="00E4112C">
        <w:rPr>
          <w:rFonts w:ascii="Times New Roman" w:eastAsia="Calibri" w:hAnsi="Times New Roman" w:cs="Times New Roman"/>
          <w:kern w:val="0"/>
          <w:sz w:val="20"/>
          <w:szCs w:val="20"/>
          <w:lang w:val="es-ES" w:eastAsia="en-GB" w:bidi="ar-SA"/>
          <w14:ligatures w14:val="none"/>
        </w:rPr>
        <w:t>;</w:t>
      </w:r>
    </w:p>
    <w:p w14:paraId="262D1FAA" w14:textId="3771E304"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p>
    <w:p w14:paraId="2C247628" w14:textId="48BE045B"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w:r w:rsidRPr="00E4112C">
        <w:rPr>
          <w:rFonts w:ascii="Times New Roman" w:eastAsia="Calibri" w:hAnsi="Times New Roman" w:cs="Times New Roman"/>
          <w:b/>
          <w:bCs/>
          <w:kern w:val="0"/>
          <w:sz w:val="20"/>
          <w:szCs w:val="20"/>
          <w:lang w:val="es-ES" w:eastAsia="en-GB" w:bidi="ar-SA"/>
          <w14:ligatures w14:val="none"/>
        </w:rPr>
        <w:t>t</w:t>
      </w:r>
      <w:r w:rsidRPr="00E4112C">
        <w:rPr>
          <w:rFonts w:ascii="Times New Roman" w:eastAsia="Calibri" w:hAnsi="Times New Roman" w:cs="Times New Roman"/>
          <w:kern w:val="0"/>
          <w:sz w:val="20"/>
          <w:szCs w:val="20"/>
          <w:lang w:val="es-ES" w:eastAsia="en-GB" w:bidi="ar-SA"/>
          <w14:ligatures w14:val="none"/>
        </w:rPr>
        <w:t>"</w:t>
      </w:r>
      <w:r w:rsidRPr="00E4112C">
        <w:rPr>
          <w:rFonts w:ascii="Times New Roman" w:eastAsia="Calibri" w:hAnsi="Times New Roman" w:cs="Times New Roman"/>
          <w:b/>
          <w:bCs/>
          <w:kern w:val="0"/>
          <w:sz w:val="20"/>
          <w:szCs w:val="20"/>
          <w:lang w:val="es-ES" w:eastAsia="en-GB" w:bidi="ar-SA"/>
          <w14:ligatures w14:val="none"/>
        </w:rPr>
        <w:t xml:space="preserve"> </w:t>
      </w:r>
      <w:r w:rsidR="00A1463B" w:rsidRPr="00E4112C">
        <w:rPr>
          <w:rFonts w:ascii="Times New Roman" w:eastAsia="Calibri" w:hAnsi="Times New Roman" w:cs="Times New Roman"/>
          <w:kern w:val="0"/>
          <w:sz w:val="20"/>
          <w:szCs w:val="20"/>
          <w:lang w:val="es-ES" w:eastAsia="en-GB" w:bidi="ar-SA"/>
          <w14:ligatures w14:val="none"/>
        </w:rPr>
        <w:t>significa</w:t>
      </w:r>
      <w:r w:rsidR="001F1C09" w:rsidRPr="00E4112C">
        <w:rPr>
          <w:rFonts w:ascii="Times New Roman" w:eastAsia="Calibri" w:hAnsi="Times New Roman" w:cs="Times New Roman"/>
          <w:kern w:val="0"/>
          <w:sz w:val="20"/>
          <w:szCs w:val="20"/>
          <w:lang w:val="es-ES" w:eastAsia="en-GB" w:bidi="ar-SA"/>
          <w14:ligatures w14:val="none"/>
        </w:rPr>
        <w:t xml:space="preserve"> o número de dias corridos desde a Data de Emissão;</w:t>
      </w:r>
    </w:p>
    <w:p w14:paraId="5DC176FD" w14:textId="77777777" w:rsidR="001F1C09" w:rsidRPr="00E4112C" w:rsidRDefault="001F1C09" w:rsidP="007C1676">
      <w:pPr>
        <w:spacing w:after="0" w:line="240" w:lineRule="auto"/>
        <w:jc w:val="both"/>
        <w:rPr>
          <w:rFonts w:ascii="Times New Roman" w:eastAsia="Calibri" w:hAnsi="Times New Roman" w:cs="Times New Roman"/>
          <w:b/>
          <w:bCs/>
          <w:kern w:val="0"/>
          <w:sz w:val="20"/>
          <w:szCs w:val="20"/>
          <w:lang w:val="es-ES" w:eastAsia="en-GB" w:bidi="ar-SA"/>
          <w14:ligatures w14:val="none"/>
        </w:rPr>
      </w:pPr>
    </w:p>
    <w:p w14:paraId="0B3A8086" w14:textId="7CA8E3B0" w:rsidR="001F1C09" w:rsidRPr="00E4112C" w:rsidRDefault="007C1676" w:rsidP="001F1C09">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1</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E4112C">
        <w:rPr>
          <w:rFonts w:ascii="Times New Roman" w:eastAsia="Calibri" w:hAnsi="Times New Roman" w:cs="Times New Roman"/>
          <w:kern w:val="0"/>
          <w:sz w:val="20"/>
          <w:szCs w:val="20"/>
          <w:lang w:val="es-ES" w:eastAsia="en-GB" w:bidi="ar-SA"/>
          <w14:ligatures w14:val="none"/>
        </w:rPr>
        <w:t xml:space="preserve">" </w:t>
      </w:r>
      <w:r w:rsidR="00A1463B" w:rsidRPr="00E4112C">
        <w:rPr>
          <w:rFonts w:ascii="Times New Roman" w:eastAsia="Calibri" w:hAnsi="Times New Roman" w:cs="Times New Roman"/>
          <w:kern w:val="0"/>
          <w:sz w:val="20"/>
          <w:szCs w:val="20"/>
          <w:lang w:val="es-ES" w:eastAsia="en-GB" w:bidi="ar-SA"/>
          <w14:ligatures w14:val="none"/>
        </w:rPr>
        <w:t>significa</w:t>
      </w:r>
      <w:r w:rsidR="001F1C09" w:rsidRPr="00E4112C">
        <w:rPr>
          <w:rFonts w:ascii="Times New Roman" w:eastAsia="Calibri" w:hAnsi="Times New Roman" w:cs="Times New Roman"/>
          <w:kern w:val="0"/>
          <w:sz w:val="20"/>
          <w:szCs w:val="20"/>
          <w:lang w:val="es-ES" w:eastAsia="en-GB" w:bidi="ar-SA"/>
          <w14:ligatures w14:val="none"/>
        </w:rPr>
        <w:t xml:space="preserve"> o Direito de Criptomoeda Única em relação à criptomoeda específica incluída no cabaz (denotada por "i") no dia anterior a "t" dias após a Data de Emissão;</w:t>
      </w:r>
    </w:p>
    <w:p w14:paraId="54F1BA03" w14:textId="77777777" w:rsidR="001F1C09" w:rsidRPr="00E4112C" w:rsidRDefault="001F1C09" w:rsidP="001F1C09">
      <w:pPr>
        <w:spacing w:after="0" w:line="240" w:lineRule="auto"/>
        <w:jc w:val="both"/>
        <w:rPr>
          <w:rFonts w:ascii="Times New Roman" w:eastAsia="Calibri" w:hAnsi="Times New Roman" w:cs="Times New Roman"/>
          <w:kern w:val="0"/>
          <w:sz w:val="20"/>
          <w:szCs w:val="20"/>
          <w:lang w:val="es-ES" w:eastAsia="en-GB" w:bidi="ar-SA"/>
          <w14:ligatures w14:val="none"/>
        </w:rPr>
      </w:pPr>
    </w:p>
    <w:p w14:paraId="00930CCB" w14:textId="13A2B363" w:rsidR="007C1676" w:rsidRPr="00E4112C" w:rsidRDefault="007C1676" w:rsidP="001F1C09">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SSR</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2</m:t>
                </m:r>
              </m:e>
            </m:d>
          </m:sub>
        </m:sSub>
      </m:oMath>
      <w:r w:rsidRPr="00E4112C">
        <w:rPr>
          <w:rFonts w:ascii="Times New Roman" w:eastAsia="Calibri" w:hAnsi="Times New Roman" w:cs="Times New Roman"/>
          <w:kern w:val="0"/>
          <w:sz w:val="20"/>
          <w:szCs w:val="20"/>
          <w:lang w:val="es-ES" w:eastAsia="en-GB" w:bidi="ar-SA"/>
          <w14:ligatures w14:val="none"/>
        </w:rPr>
        <w:t xml:space="preserve">" </w:t>
      </w:r>
      <w:r w:rsidR="00E1611F" w:rsidRPr="00E4112C">
        <w:rPr>
          <w:rFonts w:ascii="Times New Roman" w:eastAsia="Calibri" w:hAnsi="Times New Roman" w:cs="Times New Roman"/>
          <w:kern w:val="0"/>
          <w:sz w:val="20"/>
          <w:szCs w:val="20"/>
          <w:lang w:val="es-ES" w:eastAsia="en-GB" w:bidi="ar-SA"/>
          <w14:ligatures w14:val="none"/>
        </w:rPr>
        <w:t xml:space="preserve">significa as recompensas de staking únicas expressas na respectiva criptomoeda recebidas (tanto ganhas quanto acumuladas) de staking </w:t>
      </w:r>
      <w:r w:rsidR="00E72AE2">
        <w:rPr>
          <w:rFonts w:ascii="Times New Roman" w:eastAsia="Calibri" w:hAnsi="Times New Roman" w:cs="Times New Roman"/>
          <w:kern w:val="0"/>
          <w:sz w:val="20"/>
          <w:szCs w:val="20"/>
          <w:lang w:val="es-ES" w:eastAsia="en-GB" w:bidi="ar-SA"/>
          <w14:ligatures w14:val="none"/>
        </w:rPr>
        <w:t>dois días antes de</w:t>
      </w:r>
      <w:r w:rsidR="00E1611F" w:rsidRPr="00E4112C">
        <w:rPr>
          <w:rFonts w:ascii="Times New Roman" w:eastAsia="Calibri" w:hAnsi="Times New Roman" w:cs="Times New Roman"/>
          <w:kern w:val="0"/>
          <w:sz w:val="20"/>
          <w:szCs w:val="20"/>
          <w:lang w:val="es-ES" w:eastAsia="en-GB" w:bidi="ar-SA"/>
          <w14:ligatures w14:val="none"/>
        </w:rPr>
        <w:t xml:space="preserve"> "t" dias após a Data de Emissão;</w:t>
      </w:r>
    </w:p>
    <w:p w14:paraId="59DA9229" w14:textId="013ED3ED"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p>
    <w:p w14:paraId="312615CF" w14:textId="66F106E8"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N</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
                  </m:rPr>
                  <w:rPr>
                    <w:rFonts w:ascii="Cambria Math" w:eastAsia="Calibri" w:hAnsi="Cambria Math" w:cs="Times New Roman"/>
                    <w:kern w:val="0"/>
                    <w:sz w:val="20"/>
                    <w:szCs w:val="20"/>
                    <w:lang w:val="es-ES" w:eastAsia="en-GB" w:bidi="ar-SA"/>
                    <w14:ligatures w14:val="none"/>
                  </w:rPr>
                  <m:t>-</m:t>
                </m:r>
                <m:r>
                  <m:rPr>
                    <m:sty m:val="b"/>
                  </m:rPr>
                  <w:rPr>
                    <w:rFonts w:ascii="Cambria Math" w:eastAsia="Calibri" w:hAnsi="Cambria Math" w:cs="Times New Roman"/>
                    <w:kern w:val="0"/>
                    <w:sz w:val="20"/>
                    <w:szCs w:val="20"/>
                    <w:lang w:val="en-GB" w:eastAsia="en-GB" w:bidi="ar-SA"/>
                    <w14:ligatures w14:val="none"/>
                  </w:rPr>
                  <m:t>1</m:t>
                </m:r>
              </m:e>
            </m:d>
          </m:sub>
        </m:sSub>
      </m:oMath>
      <w:r w:rsidRPr="00E4112C">
        <w:rPr>
          <w:rFonts w:ascii="Times New Roman" w:eastAsia="Calibri" w:hAnsi="Times New Roman" w:cs="Times New Roman"/>
          <w:kern w:val="0"/>
          <w:sz w:val="20"/>
          <w:szCs w:val="20"/>
          <w:lang w:val="es-ES" w:eastAsia="en-GB" w:bidi="ar-SA"/>
          <w14:ligatures w14:val="none"/>
        </w:rPr>
        <w:t>"</w:t>
      </w:r>
      <w:r w:rsidRPr="00E4112C">
        <w:rPr>
          <w:rFonts w:ascii="Times New Roman" w:eastAsia="Calibri" w:hAnsi="Times New Roman" w:cs="Times New Roman"/>
          <w:b/>
          <w:bCs/>
          <w:kern w:val="0"/>
          <w:sz w:val="20"/>
          <w:szCs w:val="20"/>
          <w:lang w:val="es-ES" w:eastAsia="en-GB" w:bidi="ar-SA"/>
          <w14:ligatures w14:val="none"/>
        </w:rPr>
        <w:t xml:space="preserve"> </w:t>
      </w:r>
      <w:r w:rsidR="00A1463B" w:rsidRPr="00E4112C">
        <w:rPr>
          <w:rFonts w:ascii="Times New Roman" w:eastAsia="Calibri" w:hAnsi="Times New Roman" w:cs="Times New Roman"/>
          <w:kern w:val="0"/>
          <w:sz w:val="20"/>
          <w:szCs w:val="20"/>
          <w:lang w:val="es-ES" w:eastAsia="en-GB" w:bidi="ar-SA"/>
          <w14:ligatures w14:val="none"/>
        </w:rPr>
        <w:t>significa</w:t>
      </w:r>
      <w:r w:rsidR="00E1611F" w:rsidRPr="00E4112C">
        <w:rPr>
          <w:rFonts w:ascii="Times New Roman" w:eastAsia="Calibri" w:hAnsi="Times New Roman" w:cs="Times New Roman"/>
          <w:kern w:val="0"/>
          <w:sz w:val="20"/>
          <w:szCs w:val="20"/>
          <w:lang w:val="es-ES" w:eastAsia="en-GB" w:bidi="ar-SA"/>
          <w14:ligatures w14:val="none"/>
        </w:rPr>
        <w:t xml:space="preserve"> o número de obrigações em circulação no final do dia anterior a "t" dias após a Data de Emissão;</w:t>
      </w:r>
    </w:p>
    <w:p w14:paraId="1D1F7F5E" w14:textId="77777777"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p>
    <w:p w14:paraId="5C65F278" w14:textId="4DEB7FF8"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r>
          <m:rPr>
            <m:sty m:val="bi"/>
          </m:rPr>
          <w:rPr>
            <w:rFonts w:ascii="Cambria Math" w:eastAsia="Calibri" w:hAnsi="Cambria Math" w:cs="Times New Roman"/>
            <w:kern w:val="0"/>
            <w:sz w:val="20"/>
            <w:szCs w:val="20"/>
            <w:lang w:val="en-GB" w:eastAsia="en-GB" w:bidi="ar-SA"/>
            <w14:ligatures w14:val="none"/>
          </w:rPr>
          <m:t>DER</m:t>
        </m:r>
      </m:oMath>
      <w:r w:rsidRPr="00E4112C">
        <w:rPr>
          <w:rFonts w:ascii="Times New Roman" w:eastAsia="Calibri" w:hAnsi="Times New Roman" w:cs="Times New Roman"/>
          <w:kern w:val="0"/>
          <w:sz w:val="20"/>
          <w:szCs w:val="20"/>
          <w:lang w:val="es-ES" w:eastAsia="en-GB" w:bidi="ar-SA"/>
          <w14:ligatures w14:val="none"/>
        </w:rPr>
        <w:t xml:space="preserve">" </w:t>
      </w:r>
      <w:r w:rsidR="00E1611F" w:rsidRPr="00E4112C">
        <w:rPr>
          <w:rFonts w:ascii="Times New Roman" w:eastAsia="Calibri" w:hAnsi="Times New Roman" w:cs="Times New Roman"/>
          <w:kern w:val="0"/>
          <w:sz w:val="20"/>
          <w:szCs w:val="20"/>
          <w:lang w:val="es-ES" w:eastAsia="en-GB" w:bidi="ar-SA"/>
          <w14:ligatures w14:val="none"/>
        </w:rPr>
        <w:t>significa a Taxa de Diminuição do Direito. A Taxa de Diminuição do Direito representa a taxa de gestão expressa como a taxa na qual o Direito de Criptomoeda Única decai ao longo do tempo; e</w:t>
      </w:r>
    </w:p>
    <w:p w14:paraId="4E13BDB5" w14:textId="77777777" w:rsidR="007C1676" w:rsidRPr="00E4112C" w:rsidRDefault="007C1676" w:rsidP="007C1676">
      <w:pPr>
        <w:spacing w:after="0" w:line="240" w:lineRule="auto"/>
        <w:jc w:val="both"/>
        <w:rPr>
          <w:rFonts w:ascii="Times New Roman" w:eastAsia="Calibri" w:hAnsi="Times New Roman" w:cs="Times New Roman"/>
          <w:kern w:val="0"/>
          <w:sz w:val="20"/>
          <w:szCs w:val="20"/>
          <w:lang w:val="es-ES" w:eastAsia="en-GB" w:bidi="ar-SA"/>
          <w14:ligatures w14:val="none"/>
        </w:rPr>
      </w:pPr>
    </w:p>
    <w:p w14:paraId="4E284A8A" w14:textId="1A211CC8" w:rsidR="007C1676" w:rsidRPr="00E4112C" w:rsidRDefault="007C1676" w:rsidP="00A1463B">
      <w:pPr>
        <w:spacing w:after="0" w:line="240" w:lineRule="auto"/>
        <w:jc w:val="both"/>
        <w:rPr>
          <w:rFonts w:ascii="Times New Roman" w:eastAsia="Calibri" w:hAnsi="Times New Roman" w:cs="Times New Roman"/>
          <w:kern w:val="0"/>
          <w:sz w:val="20"/>
          <w:szCs w:val="20"/>
          <w:lang w:val="es-ES" w:eastAsia="en-GB" w:bidi="ar-SA"/>
          <w14:ligatures w14:val="none"/>
        </w:rPr>
      </w:pPr>
      <w:r w:rsidRPr="00E4112C">
        <w:rPr>
          <w:rFonts w:ascii="Times New Roman" w:eastAsia="Calibri" w:hAnsi="Times New Roman" w:cs="Times New Roman"/>
          <w:kern w:val="0"/>
          <w:sz w:val="20"/>
          <w:szCs w:val="20"/>
          <w:lang w:val="es-ES"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DSC</m:t>
            </m:r>
          </m:e>
          <m:sub>
            <m:r>
              <m:rPr>
                <m:sty m:val="bi"/>
              </m:rPr>
              <w:rPr>
                <w:rFonts w:ascii="Cambria Math" w:eastAsia="Calibri" w:hAnsi="Cambria Math" w:cs="Times New Roman"/>
                <w:kern w:val="0"/>
                <w:sz w:val="20"/>
                <w:szCs w:val="20"/>
                <w:lang w:val="es-ES"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es-ES"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E4112C">
        <w:rPr>
          <w:rFonts w:ascii="Times New Roman" w:eastAsia="Calibri" w:hAnsi="Times New Roman" w:cs="Times New Roman"/>
          <w:kern w:val="0"/>
          <w:sz w:val="20"/>
          <w:szCs w:val="20"/>
          <w:lang w:val="es-ES" w:eastAsia="en-GB" w:bidi="ar-SA"/>
          <w14:ligatures w14:val="none"/>
        </w:rPr>
        <w:t xml:space="preserve">" </w:t>
      </w:r>
      <w:r w:rsidR="00A1463B" w:rsidRPr="00E4112C">
        <w:rPr>
          <w:rFonts w:ascii="Times New Roman" w:eastAsia="Calibri" w:hAnsi="Times New Roman" w:cs="Times New Roman"/>
          <w:kern w:val="0"/>
          <w:sz w:val="20"/>
          <w:szCs w:val="20"/>
          <w:lang w:val="es-ES" w:eastAsia="en-GB" w:bidi="ar-SA"/>
          <w14:ligatures w14:val="none"/>
        </w:rPr>
        <w:t>significa as taxas aplicadas às recompensas de staking em relação à criptomoeda específica incluída no cabaz (denotada por "i").</w:t>
      </w:r>
    </w:p>
    <w:p w14:paraId="4A06BF22" w14:textId="77777777" w:rsidR="00A1463B" w:rsidRPr="00E4112C" w:rsidRDefault="00A1463B" w:rsidP="00110066">
      <w:pPr>
        <w:spacing w:after="60" w:line="240" w:lineRule="auto"/>
        <w:jc w:val="both"/>
        <w:rPr>
          <w:rFonts w:ascii="Times New Roman" w:eastAsia="Calibri" w:hAnsi="Times New Roman" w:cs="Times New Roman"/>
          <w:b/>
          <w:bCs/>
          <w:i/>
          <w:iCs/>
          <w:kern w:val="0"/>
          <w:sz w:val="20"/>
          <w:szCs w:val="20"/>
          <w:lang w:val="es-ES" w:eastAsia="en-GB" w:bidi="ar-SA"/>
          <w14:ligatures w14:val="none"/>
        </w:rPr>
      </w:pPr>
    </w:p>
    <w:p w14:paraId="29575A00" w14:textId="77777777" w:rsidR="00110066" w:rsidRPr="00E4112C" w:rsidRDefault="00110066" w:rsidP="00110066">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O preço de emissão para investidores que não sejam Participantes Autorizados será determinado de forma contínua. </w:t>
      </w:r>
    </w:p>
    <w:p w14:paraId="7A6397E7" w14:textId="1DCE552E" w:rsidR="00110066" w:rsidRPr="00E4112C" w:rsidRDefault="00110066" w:rsidP="00110066">
      <w:pPr>
        <w:spacing w:after="6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Na data de emissão, 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 xml:space="preserve">Criptomoeda seria de 0.002 ETH por Obrigação, ou seja, Participantes Autorizados que comprassem Obrigações do Emitente receberiam uma Obrigação para cada 0.002 ETH. Além disso, o Emitente cobrará uma taxa de subscrição de até 0.50 por cento de 0.002 ETH do Participante Autorizado. Quando um investidor compra uma Obrigação de um Participante Autorizado com </w:t>
      </w:r>
      <w:proofErr w:type="gramStart"/>
      <w:r w:rsidRPr="00E72AE2">
        <w:rPr>
          <w:rFonts w:ascii="Times New Roman" w:eastAsia="MS Mincho" w:hAnsi="Times New Roman" w:cs="Times New Roman"/>
          <w:kern w:val="0"/>
          <w:sz w:val="20"/>
          <w:szCs w:val="20"/>
          <w:lang w:val="es-ES" w:bidi="ar-SA"/>
          <w14:ligatures w14:val="none"/>
        </w:rPr>
        <w:t>Euros</w:t>
      </w:r>
      <w:proofErr w:type="gramEnd"/>
      <w:r w:rsidRPr="00E4112C">
        <w:rPr>
          <w:rFonts w:ascii="Times New Roman" w:eastAsia="MS Mincho" w:hAnsi="Times New Roman" w:cs="Times New Roman"/>
          <w:kern w:val="0"/>
          <w:sz w:val="20"/>
          <w:szCs w:val="20"/>
          <w:lang w:val="es-ES" w:bidi="ar-SA"/>
          <w14:ligatures w14:val="none"/>
        </w:rPr>
        <w:t xml:space="preserve">, o equivalente em </w:t>
      </w:r>
      <w:r w:rsidRPr="00E72AE2">
        <w:rPr>
          <w:rFonts w:ascii="Times New Roman" w:eastAsia="MS Mincho" w:hAnsi="Times New Roman" w:cs="Times New Roman"/>
          <w:kern w:val="0"/>
          <w:sz w:val="20"/>
          <w:szCs w:val="20"/>
          <w:lang w:val="es-ES" w:bidi="ar-SA"/>
          <w14:ligatures w14:val="none"/>
        </w:rPr>
        <w:t>Euros</w:t>
      </w:r>
      <w:r w:rsidRPr="00E4112C">
        <w:rPr>
          <w:rFonts w:ascii="Times New Roman" w:eastAsia="MS Mincho" w:hAnsi="Times New Roman" w:cs="Times New Roman"/>
          <w:kern w:val="0"/>
          <w:sz w:val="20"/>
          <w:szCs w:val="20"/>
          <w:lang w:val="es-ES" w:bidi="ar-SA"/>
          <w14:ligatures w14:val="none"/>
        </w:rPr>
        <w:t xml:space="preserve">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 xml:space="preserve">Criptomoeda a partir de </w:t>
      </w:r>
      <w:r w:rsidR="00C1414F" w:rsidRPr="00E4112C">
        <w:rPr>
          <w:rFonts w:ascii="Times New Roman" w:eastAsia="MS Mincho" w:hAnsi="Times New Roman" w:cs="Times New Roman"/>
          <w:kern w:val="0"/>
          <w:sz w:val="20"/>
          <w:szCs w:val="20"/>
          <w:lang w:val="es-ES" w:bidi="ar-SA"/>
          <w14:ligatures w14:val="none"/>
        </w:rPr>
        <w:t>16 de janeiro</w:t>
      </w:r>
      <w:r w:rsidR="00C1414F" w:rsidRPr="00E72AE2">
        <w:rPr>
          <w:rFonts w:ascii="Times New Roman" w:eastAsia="MS Mincho" w:hAnsi="Times New Roman" w:cs="Times New Roman"/>
          <w:kern w:val="0"/>
          <w:sz w:val="20"/>
          <w:szCs w:val="20"/>
          <w:lang w:val="es-ES" w:bidi="ar-SA"/>
          <w14:ligatures w14:val="none"/>
        </w:rPr>
        <w:t xml:space="preserve"> de 2024</w:t>
      </w:r>
      <w:r w:rsidRPr="00E4112C">
        <w:rPr>
          <w:rFonts w:ascii="Times New Roman" w:eastAsia="MS Mincho" w:hAnsi="Times New Roman" w:cs="Times New Roman"/>
          <w:kern w:val="0"/>
          <w:sz w:val="20"/>
          <w:szCs w:val="20"/>
          <w:lang w:val="es-ES" w:bidi="ar-SA"/>
          <w14:ligatures w14:val="none"/>
        </w:rPr>
        <w:t xml:space="preserve">, com base num valor ETH de </w:t>
      </w:r>
      <w:r w:rsidRPr="00E72AE2">
        <w:rPr>
          <w:rFonts w:ascii="Times New Roman" w:eastAsia="MS Mincho" w:hAnsi="Times New Roman" w:cs="Times New Roman"/>
          <w:kern w:val="0"/>
          <w:sz w:val="20"/>
          <w:szCs w:val="20"/>
          <w:lang w:val="es-ES" w:bidi="ar-SA"/>
          <w14:ligatures w14:val="none"/>
        </w:rPr>
        <w:t xml:space="preserve">Euro </w:t>
      </w:r>
      <w:r w:rsidR="00C1414F" w:rsidRPr="00E72AE2">
        <w:rPr>
          <w:rFonts w:ascii="Times New Roman" w:eastAsia="MS Mincho" w:hAnsi="Times New Roman" w:cs="Times New Roman"/>
          <w:kern w:val="0"/>
          <w:sz w:val="20"/>
          <w:szCs w:val="20"/>
          <w:lang w:val="es-ES" w:bidi="ar-SA"/>
          <w14:ligatures w14:val="none"/>
        </w:rPr>
        <w:t>2,351.11</w:t>
      </w:r>
      <w:r w:rsidRPr="00E4112C">
        <w:rPr>
          <w:rFonts w:ascii="Times New Roman" w:eastAsia="MS Mincho" w:hAnsi="Times New Roman" w:cs="Times New Roman"/>
          <w:kern w:val="0"/>
          <w:sz w:val="20"/>
          <w:szCs w:val="20"/>
          <w:lang w:val="es-ES" w:bidi="ar-SA"/>
          <w14:ligatures w14:val="none"/>
        </w:rPr>
        <w:t xml:space="preserve"> seria </w:t>
      </w:r>
      <w:r w:rsidRPr="00E72AE2">
        <w:rPr>
          <w:rFonts w:ascii="Times New Roman" w:eastAsia="MS Mincho" w:hAnsi="Times New Roman" w:cs="Times New Roman"/>
          <w:kern w:val="0"/>
          <w:sz w:val="20"/>
          <w:szCs w:val="20"/>
          <w:lang w:val="es-ES" w:bidi="ar-SA"/>
          <w14:ligatures w14:val="none"/>
        </w:rPr>
        <w:t xml:space="preserve">Euro </w:t>
      </w:r>
      <w:r w:rsidR="00563E80" w:rsidRPr="00E72AE2">
        <w:rPr>
          <w:rFonts w:ascii="Times New Roman" w:eastAsia="MS Mincho" w:hAnsi="Times New Roman" w:cs="Times New Roman"/>
          <w:kern w:val="0"/>
          <w:sz w:val="20"/>
          <w:szCs w:val="20"/>
          <w:lang w:val="es-ES" w:bidi="ar-SA"/>
          <w14:ligatures w14:val="none"/>
        </w:rPr>
        <w:t>4.70</w:t>
      </w:r>
      <w:r w:rsidRPr="00E72AE2">
        <w:rPr>
          <w:rFonts w:ascii="Times New Roman" w:eastAsia="MS Mincho" w:hAnsi="Times New Roman" w:cs="Times New Roman"/>
          <w:kern w:val="0"/>
          <w:sz w:val="20"/>
          <w:szCs w:val="20"/>
          <w:lang w:val="es-ES" w:bidi="ar-SA"/>
          <w14:ligatures w14:val="none"/>
        </w:rPr>
        <w:t>.</w:t>
      </w:r>
      <w:r w:rsidRPr="00E4112C">
        <w:rPr>
          <w:rFonts w:ascii="Times New Roman" w:eastAsia="MS Mincho" w:hAnsi="Times New Roman" w:cs="Times New Roman"/>
          <w:kern w:val="0"/>
          <w:sz w:val="20"/>
          <w:szCs w:val="20"/>
          <w:lang w:val="es-ES" w:bidi="ar-SA"/>
          <w14:ligatures w14:val="none"/>
        </w:rPr>
        <w:t xml:space="preserve"> No entanto, dado que cada Participante Autorizado pode cobrar uma taxa de subscrição do investidor a quem está vendendo as Obrigações a seu critério, o preço de compra de uma Obrigação pode ser superior a </w:t>
      </w:r>
      <w:r w:rsidRPr="00E72AE2">
        <w:rPr>
          <w:rFonts w:ascii="Times New Roman" w:eastAsia="MS Mincho" w:hAnsi="Times New Roman" w:cs="Times New Roman"/>
          <w:kern w:val="0"/>
          <w:sz w:val="20"/>
          <w:szCs w:val="20"/>
          <w:lang w:val="es-ES" w:bidi="ar-SA"/>
          <w14:ligatures w14:val="none"/>
        </w:rPr>
        <w:t xml:space="preserve">Euro </w:t>
      </w:r>
      <w:r w:rsidR="003255C9" w:rsidRPr="00E72AE2">
        <w:rPr>
          <w:rFonts w:ascii="Times New Roman" w:eastAsia="MS Mincho" w:hAnsi="Times New Roman" w:cs="Times New Roman"/>
          <w:kern w:val="0"/>
          <w:sz w:val="20"/>
          <w:szCs w:val="20"/>
          <w:lang w:val="es-ES" w:bidi="ar-SA"/>
          <w14:ligatures w14:val="none"/>
        </w:rPr>
        <w:t>4.70</w:t>
      </w:r>
      <w:r w:rsidRPr="00E72AE2">
        <w:rPr>
          <w:rFonts w:ascii="Times New Roman" w:eastAsia="MS Mincho" w:hAnsi="Times New Roman" w:cs="Times New Roman"/>
          <w:kern w:val="0"/>
          <w:sz w:val="20"/>
          <w:szCs w:val="20"/>
          <w:lang w:val="es-ES" w:bidi="ar-SA"/>
          <w14:ligatures w14:val="none"/>
        </w:rPr>
        <w:t>.</w:t>
      </w:r>
    </w:p>
    <w:p w14:paraId="1F5D476D" w14:textId="393701C0" w:rsidR="00110066" w:rsidRPr="00E4112C" w:rsidRDefault="00110066" w:rsidP="00110066">
      <w:pPr>
        <w:spacing w:after="60" w:line="240" w:lineRule="auto"/>
        <w:jc w:val="both"/>
        <w:rPr>
          <w:rFonts w:ascii="Times New Roman" w:eastAsia="MS Mincho" w:hAnsi="Times New Roman" w:cs="Times New Roman"/>
          <w:kern w:val="0"/>
          <w:sz w:val="20"/>
          <w:szCs w:val="20"/>
          <w:lang w:bidi="ar-SA"/>
          <w14:ligatures w14:val="none"/>
        </w:rPr>
      </w:pPr>
      <w:r w:rsidRPr="00E4112C">
        <w:rPr>
          <w:rFonts w:ascii="Times New Roman" w:eastAsia="MS Mincho" w:hAnsi="Times New Roman" w:cs="Times New Roman"/>
          <w:b/>
          <w:bCs/>
          <w:i/>
          <w:iCs/>
          <w:kern w:val="0"/>
          <w:sz w:val="20"/>
          <w:szCs w:val="20"/>
          <w:lang w:val="es-ES" w:bidi="ar-SA"/>
          <w14:ligatures w14:val="none"/>
        </w:rPr>
        <w:t>Despesas:</w:t>
      </w:r>
      <w:r w:rsidRPr="00E4112C">
        <w:rPr>
          <w:rFonts w:ascii="Times New Roman" w:eastAsia="MS Mincho" w:hAnsi="Times New Roman" w:cs="Times New Roman"/>
          <w:kern w:val="0"/>
          <w:sz w:val="20"/>
          <w:szCs w:val="20"/>
          <w:lang w:val="es-ES" w:bidi="ar-SA"/>
          <w14:ligatures w14:val="none"/>
        </w:rPr>
        <w:t xml:space="preserve"> As despesas totais estimadas da emissão e/ou oferta são </w:t>
      </w:r>
      <w:r w:rsidRPr="00E72AE2">
        <w:rPr>
          <w:rFonts w:ascii="Times New Roman" w:eastAsia="MS Mincho" w:hAnsi="Times New Roman" w:cs="Times New Roman"/>
          <w:kern w:val="0"/>
          <w:sz w:val="20"/>
          <w:szCs w:val="20"/>
          <w:lang w:val="es-ES" w:bidi="ar-SA"/>
          <w14:ligatures w14:val="none"/>
        </w:rPr>
        <w:t>EUR 35,500</w:t>
      </w:r>
      <w:r w:rsidRPr="00E4112C">
        <w:rPr>
          <w:rFonts w:ascii="Times New Roman" w:eastAsia="MS Mincho" w:hAnsi="Times New Roman" w:cs="Times New Roman"/>
          <w:kern w:val="0"/>
          <w:sz w:val="20"/>
          <w:szCs w:val="20"/>
          <w:lang w:val="es-ES" w:bidi="ar-SA"/>
          <w14:ligatures w14:val="none"/>
        </w:rPr>
        <w:t xml:space="preserve">. O Emitente cobrará uma taxa de subscrição de até 0.50 por cento do </w:t>
      </w:r>
      <w:r w:rsidR="00387840" w:rsidRPr="00E4112C">
        <w:rPr>
          <w:rFonts w:ascii="Times New Roman" w:eastAsia="MS Mincho" w:hAnsi="Times New Roman" w:cs="Times New Roman"/>
          <w:kern w:val="0"/>
          <w:sz w:val="20"/>
          <w:szCs w:val="20"/>
          <w:lang w:val="es-ES" w:bidi="ar-SA"/>
          <w14:ligatures w14:val="none"/>
        </w:rPr>
        <w:t>Direito á</w:t>
      </w:r>
      <w:r w:rsidRPr="00E4112C">
        <w:rPr>
          <w:rFonts w:ascii="Times New Roman" w:eastAsia="MS Mincho" w:hAnsi="Times New Roman" w:cs="Times New Roman"/>
          <w:kern w:val="0"/>
          <w:sz w:val="20"/>
          <w:szCs w:val="20"/>
          <w:lang w:val="es-ES" w:bidi="ar-SA"/>
          <w14:ligatures w14:val="none"/>
        </w:rPr>
        <w:t xml:space="preserve">Criptomoeda das Obrigações dos Participantes Autorizados. O Emitente não tem influência sobre se e em que medida o respectivo Participante Autorizado cobrará taxas adicionais. </w:t>
      </w:r>
      <w:r w:rsidRPr="00E4112C">
        <w:rPr>
          <w:rFonts w:ascii="Times New Roman" w:eastAsia="MS Mincho" w:hAnsi="Times New Roman" w:cs="Times New Roman"/>
          <w:kern w:val="0"/>
          <w:sz w:val="20"/>
          <w:szCs w:val="20"/>
          <w:lang w:bidi="ar-SA"/>
          <w14:ligatures w14:val="none"/>
        </w:rPr>
        <w:t>Essas taxas podem variar dependendo do Participante Autorizado.</w:t>
      </w:r>
    </w:p>
    <w:p w14:paraId="3118A689" w14:textId="5CF348AA" w:rsidR="007C1676" w:rsidRPr="00E4112C" w:rsidRDefault="00B03F36" w:rsidP="007C167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es-ES" w:bidi="ar-SA"/>
          <w14:ligatures w14:val="none"/>
        </w:rPr>
      </w:pPr>
      <w:proofErr w:type="gramStart"/>
      <w:r w:rsidRPr="00E4112C">
        <w:rPr>
          <w:rFonts w:ascii="Times New Roman" w:eastAsia="Times New Roman" w:hAnsi="Times New Roman" w:cs="Times New Roman"/>
          <w:b/>
          <w:bCs/>
          <w:color w:val="000000"/>
          <w:kern w:val="0"/>
          <w:sz w:val="20"/>
          <w:szCs w:val="20"/>
          <w:lang w:val="es-ES" w:bidi="ar-SA"/>
          <w14:ligatures w14:val="none"/>
        </w:rPr>
        <w:t>Por que é que este Prospeto de Base é publicado</w:t>
      </w:r>
      <w:r w:rsidR="007C1676" w:rsidRPr="00E4112C">
        <w:rPr>
          <w:rFonts w:ascii="Times New Roman" w:eastAsia="Times New Roman" w:hAnsi="Times New Roman" w:cs="Times New Roman"/>
          <w:b/>
          <w:bCs/>
          <w:color w:val="000000"/>
          <w:kern w:val="0"/>
          <w:sz w:val="20"/>
          <w:szCs w:val="20"/>
          <w:lang w:val="es-ES" w:bidi="ar-SA"/>
          <w14:ligatures w14:val="none"/>
        </w:rPr>
        <w:t>?</w:t>
      </w:r>
      <w:proofErr w:type="gramEnd"/>
    </w:p>
    <w:p w14:paraId="19B9996F" w14:textId="4BDF8943" w:rsidR="007C1676" w:rsidRPr="00E4112C" w:rsidRDefault="00FB068E" w:rsidP="007C1676">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r w:rsidRPr="00E4112C">
        <w:rPr>
          <w:rFonts w:ascii="Times New Roman" w:eastAsia="Times New Roman" w:hAnsi="Times New Roman" w:cs="Times New Roman"/>
          <w:b/>
          <w:bCs/>
          <w:iCs/>
          <w:color w:val="000000"/>
          <w:kern w:val="0"/>
          <w:sz w:val="20"/>
          <w:szCs w:val="20"/>
          <w:lang w:val="es-ES" w:bidi="ar-SA"/>
          <w14:ligatures w14:val="none"/>
        </w:rPr>
        <w:t>Motivos da oferta ou da admissão à negociação num mercado regulamentado</w:t>
      </w:r>
    </w:p>
    <w:p w14:paraId="003FEBA1" w14:textId="7DC364CF" w:rsidR="007C1676" w:rsidRPr="00E4112C" w:rsidRDefault="00110066" w:rsidP="007C1676">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Emitente pretende obter lucros com a emissão das Obrigações. O Emitente lucra através da cobrança de taxas de subscrição, certas taxas de resgate e a Taxa de Diminuição do Direito.</w:t>
      </w:r>
    </w:p>
    <w:p w14:paraId="6427E20B" w14:textId="77777777" w:rsidR="00900EC4" w:rsidRPr="00E4112C" w:rsidRDefault="00900EC4" w:rsidP="007C1676">
      <w:pPr>
        <w:spacing w:after="180" w:line="240" w:lineRule="auto"/>
        <w:jc w:val="both"/>
        <w:rPr>
          <w:rFonts w:ascii="Times New Roman" w:eastAsia="Times New Roman" w:hAnsi="Times New Roman" w:cs="Times New Roman"/>
          <w:b/>
          <w:bCs/>
          <w:iCs/>
          <w:color w:val="000000"/>
          <w:kern w:val="0"/>
          <w:sz w:val="20"/>
          <w:szCs w:val="20"/>
          <w:lang w:val="es-ES" w:bidi="ar-SA"/>
          <w14:ligatures w14:val="none"/>
        </w:rPr>
      </w:pPr>
      <w:bookmarkStart w:id="1" w:name="_Hlk152927106"/>
      <w:r w:rsidRPr="00E4112C">
        <w:rPr>
          <w:rFonts w:ascii="Times New Roman" w:eastAsia="Times New Roman" w:hAnsi="Times New Roman" w:cs="Times New Roman"/>
          <w:b/>
          <w:bCs/>
          <w:iCs/>
          <w:color w:val="000000"/>
          <w:kern w:val="0"/>
          <w:sz w:val="20"/>
          <w:szCs w:val="20"/>
          <w:lang w:val="es-ES" w:bidi="ar-SA"/>
          <w14:ligatures w14:val="none"/>
        </w:rPr>
        <w:t>1.4.2.2.</w:t>
      </w:r>
      <w:r w:rsidRPr="00E4112C">
        <w:rPr>
          <w:rFonts w:ascii="Times New Roman" w:eastAsia="Times New Roman" w:hAnsi="Times New Roman" w:cs="Times New Roman"/>
          <w:b/>
          <w:bCs/>
          <w:iCs/>
          <w:color w:val="000000"/>
          <w:kern w:val="0"/>
          <w:sz w:val="20"/>
          <w:szCs w:val="20"/>
          <w:lang w:val="es-ES" w:bidi="ar-SA"/>
          <w14:ligatures w14:val="none"/>
        </w:rPr>
        <w:tab/>
        <w:t xml:space="preserve">Utilização e montantes líquidos estimados das receitas </w:t>
      </w:r>
    </w:p>
    <w:p w14:paraId="2556CDA2" w14:textId="01A06355" w:rsidR="007C1676" w:rsidRPr="00E4112C" w:rsidRDefault="0021322C" w:rsidP="007C1676">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 xml:space="preserve">As Obrigações são compradas do Emitente com Criptomoeda. A Criptomoeda recebida pelo Emitente através da subscrição das Obrigações será transferida para a Carteira de Depositário e garantida por um acordo de segurança em benefício dos Titulares das Obrigações, o Fideicomissário de Segurança e um representante dos titulares das obrigações (se nomeado). Com base na suposição de que um total de 3,200,000,000 unidades de Obrigações sejam vendidas e com base no valor ETH de </w:t>
      </w:r>
      <w:r w:rsidRPr="00E72AE2">
        <w:rPr>
          <w:rFonts w:ascii="Times New Roman" w:eastAsia="MS Mincho" w:hAnsi="Times New Roman" w:cs="Times New Roman"/>
          <w:kern w:val="0"/>
          <w:sz w:val="20"/>
          <w:szCs w:val="20"/>
          <w:lang w:val="es-ES" w:bidi="ar-SA"/>
          <w14:ligatures w14:val="none"/>
        </w:rPr>
        <w:t>EUR</w:t>
      </w:r>
      <w:r w:rsidRPr="00E4112C">
        <w:rPr>
          <w:rFonts w:ascii="Times New Roman" w:eastAsia="MS Mincho" w:hAnsi="Times New Roman" w:cs="Times New Roman"/>
          <w:kern w:val="0"/>
          <w:sz w:val="20"/>
          <w:szCs w:val="20"/>
          <w:lang w:val="es-ES" w:bidi="ar-SA"/>
          <w14:ligatures w14:val="none"/>
        </w:rPr>
        <w:t xml:space="preserve"> </w:t>
      </w:r>
      <w:r w:rsidR="003255C9" w:rsidRPr="00E4112C">
        <w:rPr>
          <w:rFonts w:ascii="Times New Roman" w:eastAsia="MS Mincho" w:hAnsi="Times New Roman" w:cs="Times New Roman"/>
          <w:kern w:val="0"/>
          <w:sz w:val="20"/>
          <w:szCs w:val="20"/>
          <w:lang w:val="es-ES" w:bidi="ar-SA"/>
          <w14:ligatures w14:val="none"/>
        </w:rPr>
        <w:t>2,351.11</w:t>
      </w:r>
      <w:r w:rsidRPr="00E4112C">
        <w:rPr>
          <w:rFonts w:ascii="Times New Roman" w:eastAsia="MS Mincho" w:hAnsi="Times New Roman" w:cs="Times New Roman"/>
          <w:kern w:val="0"/>
          <w:sz w:val="20"/>
          <w:szCs w:val="20"/>
          <w:lang w:val="es-ES" w:bidi="ar-SA"/>
          <w14:ligatures w14:val="none"/>
        </w:rPr>
        <w:t xml:space="preserve"> (a partir de </w:t>
      </w:r>
      <w:r w:rsidR="006039AD" w:rsidRPr="00E4112C">
        <w:rPr>
          <w:rFonts w:ascii="Times New Roman" w:eastAsia="MS Mincho" w:hAnsi="Times New Roman" w:cs="Times New Roman"/>
          <w:kern w:val="0"/>
          <w:sz w:val="20"/>
          <w:szCs w:val="20"/>
          <w:lang w:val="es-ES" w:bidi="ar-SA"/>
          <w14:ligatures w14:val="none"/>
        </w:rPr>
        <w:t xml:space="preserve">16 de </w:t>
      </w:r>
      <w:proofErr w:type="gramStart"/>
      <w:r w:rsidR="006039AD" w:rsidRPr="00E4112C">
        <w:rPr>
          <w:rFonts w:ascii="Times New Roman" w:eastAsia="MS Mincho" w:hAnsi="Times New Roman" w:cs="Times New Roman"/>
          <w:kern w:val="0"/>
          <w:sz w:val="20"/>
          <w:szCs w:val="20"/>
          <w:lang w:val="es-ES" w:bidi="ar-SA"/>
          <w14:ligatures w14:val="none"/>
        </w:rPr>
        <w:t xml:space="preserve">janeiro </w:t>
      </w:r>
      <w:r w:rsidRPr="00E4112C">
        <w:rPr>
          <w:rFonts w:ascii="Times New Roman" w:eastAsia="MS Mincho" w:hAnsi="Times New Roman" w:cs="Times New Roman"/>
          <w:kern w:val="0"/>
          <w:sz w:val="20"/>
          <w:szCs w:val="20"/>
          <w:lang w:val="es-ES" w:bidi="ar-SA"/>
          <w14:ligatures w14:val="none"/>
        </w:rPr>
        <w:t xml:space="preserve"> 202</w:t>
      </w:r>
      <w:r w:rsidR="006039AD" w:rsidRPr="00E4112C">
        <w:rPr>
          <w:rFonts w:ascii="Times New Roman" w:eastAsia="MS Mincho" w:hAnsi="Times New Roman" w:cs="Times New Roman"/>
          <w:kern w:val="0"/>
          <w:sz w:val="20"/>
          <w:szCs w:val="20"/>
          <w:lang w:val="es-ES" w:bidi="ar-SA"/>
          <w14:ligatures w14:val="none"/>
        </w:rPr>
        <w:t>4</w:t>
      </w:r>
      <w:proofErr w:type="gramEnd"/>
      <w:r w:rsidRPr="00E4112C">
        <w:rPr>
          <w:rFonts w:ascii="Times New Roman" w:eastAsia="MS Mincho" w:hAnsi="Times New Roman" w:cs="Times New Roman"/>
          <w:kern w:val="0"/>
          <w:sz w:val="20"/>
          <w:szCs w:val="20"/>
          <w:lang w:val="es-ES" w:bidi="ar-SA"/>
          <w14:ligatures w14:val="none"/>
        </w:rPr>
        <w:t xml:space="preserve">), os recursos líquidos para cada 10,000 unidades de Obrigações são </w:t>
      </w:r>
      <w:r w:rsidRPr="00E72AE2">
        <w:rPr>
          <w:rFonts w:ascii="Times New Roman" w:eastAsia="MS Mincho" w:hAnsi="Times New Roman" w:cs="Times New Roman"/>
          <w:kern w:val="0"/>
          <w:sz w:val="20"/>
          <w:szCs w:val="20"/>
          <w:lang w:val="es-ES" w:bidi="ar-SA"/>
          <w14:ligatures w14:val="none"/>
        </w:rPr>
        <w:t>EUR</w:t>
      </w:r>
      <w:r w:rsidRPr="00E4112C">
        <w:rPr>
          <w:rFonts w:ascii="Times New Roman" w:eastAsia="MS Mincho" w:hAnsi="Times New Roman" w:cs="Times New Roman"/>
          <w:kern w:val="0"/>
          <w:sz w:val="20"/>
          <w:szCs w:val="20"/>
          <w:lang w:val="es-ES" w:bidi="ar-SA"/>
          <w14:ligatures w14:val="none"/>
        </w:rPr>
        <w:t xml:space="preserve"> </w:t>
      </w:r>
      <w:r w:rsidR="006039AD" w:rsidRPr="00E4112C">
        <w:rPr>
          <w:rFonts w:ascii="Times New Roman" w:eastAsia="MS Mincho" w:hAnsi="Times New Roman" w:cs="Times New Roman"/>
          <w:kern w:val="0"/>
          <w:sz w:val="20"/>
          <w:szCs w:val="20"/>
          <w:lang w:val="es-ES" w:bidi="ar-SA"/>
          <w14:ligatures w14:val="none"/>
        </w:rPr>
        <w:t>47,022.20</w:t>
      </w:r>
      <w:r w:rsidRPr="00E4112C">
        <w:rPr>
          <w:rFonts w:ascii="Times New Roman" w:eastAsia="MS Mincho" w:hAnsi="Times New Roman" w:cs="Times New Roman"/>
          <w:kern w:val="0"/>
          <w:sz w:val="20"/>
          <w:szCs w:val="20"/>
          <w:lang w:val="es-ES" w:bidi="ar-SA"/>
          <w14:ligatures w14:val="none"/>
        </w:rPr>
        <w:t>.</w:t>
      </w:r>
    </w:p>
    <w:bookmarkEnd w:id="1"/>
    <w:p w14:paraId="0E1B7A39" w14:textId="1F1EADB0" w:rsidR="007C1676" w:rsidRPr="00E4112C" w:rsidRDefault="00D7402B" w:rsidP="007C1676">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E4112C">
        <w:rPr>
          <w:rFonts w:ascii="Times New Roman" w:eastAsia="Times New Roman" w:hAnsi="Times New Roman" w:cs="Times New Roman"/>
          <w:b/>
          <w:bCs/>
          <w:iCs/>
          <w:color w:val="000000"/>
          <w:kern w:val="0"/>
          <w:sz w:val="20"/>
          <w:szCs w:val="20"/>
          <w:lang w:val="en-US" w:bidi="ar-SA"/>
          <w14:ligatures w14:val="none"/>
        </w:rPr>
        <w:lastRenderedPageBreak/>
        <w:t>Acordo de tomada firme</w:t>
      </w:r>
    </w:p>
    <w:p w14:paraId="4F2CA34A" w14:textId="3AC5B39C" w:rsidR="007C1676" w:rsidRPr="00E4112C" w:rsidRDefault="00A63453" w:rsidP="007C1676">
      <w:pPr>
        <w:spacing w:after="180" w:line="240" w:lineRule="auto"/>
        <w:ind w:left="720" w:hanging="720"/>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O Emitente não celebrou qualquer acordo de tomada firme.</w:t>
      </w:r>
    </w:p>
    <w:p w14:paraId="7E812BC4" w14:textId="4BC29955" w:rsidR="007C1676" w:rsidRPr="00E4112C" w:rsidRDefault="00686861" w:rsidP="007C1676">
      <w:pPr>
        <w:numPr>
          <w:ilvl w:val="3"/>
          <w:numId w:val="1"/>
        </w:numPr>
        <w:tabs>
          <w:tab w:val="num" w:pos="426"/>
        </w:tabs>
        <w:spacing w:after="60" w:line="240" w:lineRule="auto"/>
        <w:ind w:left="720"/>
        <w:jc w:val="both"/>
        <w:outlineLvl w:val="3"/>
        <w:rPr>
          <w:rFonts w:ascii="Times New Roman" w:eastAsia="Times New Roman" w:hAnsi="Times New Roman" w:cs="Times New Roman"/>
          <w:b/>
          <w:bCs/>
          <w:iCs/>
          <w:color w:val="000000"/>
          <w:kern w:val="0"/>
          <w:sz w:val="20"/>
          <w:szCs w:val="20"/>
          <w:lang w:val="es-ES" w:bidi="ar-SA"/>
          <w14:ligatures w14:val="none"/>
        </w:rPr>
      </w:pPr>
      <w:r w:rsidRPr="00E4112C">
        <w:rPr>
          <w:rFonts w:ascii="Times New Roman" w:eastAsia="Times New Roman" w:hAnsi="Times New Roman" w:cs="Times New Roman"/>
          <w:b/>
          <w:bCs/>
          <w:iCs/>
          <w:color w:val="000000"/>
          <w:kern w:val="0"/>
          <w:sz w:val="20"/>
          <w:szCs w:val="20"/>
          <w:lang w:val="es-ES" w:bidi="ar-SA"/>
          <w14:ligatures w14:val="none"/>
        </w:rPr>
        <w:t>Conflitos de interesse materiais relacionados com a oferta ou a admissão à negociação</w:t>
      </w:r>
    </w:p>
    <w:bookmarkEnd w:id="0"/>
    <w:p w14:paraId="514F7529" w14:textId="4161EAD0" w:rsidR="007C1676" w:rsidRPr="0021322C" w:rsidRDefault="0021322C" w:rsidP="007C1676">
      <w:pPr>
        <w:spacing w:after="180" w:line="240" w:lineRule="auto"/>
        <w:jc w:val="both"/>
        <w:rPr>
          <w:rFonts w:ascii="Times New Roman" w:eastAsia="MS Mincho" w:hAnsi="Times New Roman" w:cs="Times New Roman"/>
          <w:kern w:val="0"/>
          <w:sz w:val="20"/>
          <w:szCs w:val="20"/>
          <w:lang w:val="es-ES" w:bidi="ar-SA"/>
          <w14:ligatures w14:val="none"/>
        </w:rPr>
      </w:pPr>
      <w:r w:rsidRPr="00E4112C">
        <w:rPr>
          <w:rFonts w:ascii="Times New Roman" w:eastAsia="MS Mincho" w:hAnsi="Times New Roman" w:cs="Times New Roman"/>
          <w:kern w:val="0"/>
          <w:sz w:val="20"/>
          <w:szCs w:val="20"/>
          <w:lang w:val="es-ES" w:bidi="ar-SA"/>
          <w14:ligatures w14:val="none"/>
        </w:rPr>
        <w:t>Não existem interesses materiais, e em especial, não existem conflitos de interesse em relação à oferta pública ou à admissão à negociação.</w:t>
      </w:r>
    </w:p>
    <w:p w14:paraId="704E99A8" w14:textId="77777777" w:rsidR="007C1676" w:rsidRPr="0021322C" w:rsidRDefault="007C1676" w:rsidP="007C1676">
      <w:pPr>
        <w:rPr>
          <w:rFonts w:ascii="Calibri" w:eastAsia="Calibri" w:hAnsi="Calibri" w:cs="Arial"/>
          <w:kern w:val="0"/>
          <w:lang w:val="es-ES" w:bidi="ar-SA"/>
          <w14:ligatures w14:val="none"/>
        </w:rPr>
      </w:pPr>
    </w:p>
    <w:p w14:paraId="5E4111FC" w14:textId="77777777" w:rsidR="006B22F5" w:rsidRPr="0021322C" w:rsidRDefault="006B22F5">
      <w:pPr>
        <w:rPr>
          <w:lang w:val="es-ES"/>
        </w:rPr>
      </w:pPr>
    </w:p>
    <w:sectPr w:rsidR="006B22F5" w:rsidRPr="0021322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DC17" w14:textId="77777777" w:rsidR="006B1666" w:rsidRDefault="006B1666" w:rsidP="007C1676">
      <w:pPr>
        <w:spacing w:after="0" w:line="240" w:lineRule="auto"/>
      </w:pPr>
      <w:r>
        <w:separator/>
      </w:r>
    </w:p>
  </w:endnote>
  <w:endnote w:type="continuationSeparator" w:id="0">
    <w:p w14:paraId="536E2C6F" w14:textId="77777777" w:rsidR="006B1666" w:rsidRDefault="006B1666" w:rsidP="007C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CAD4" w14:textId="77777777" w:rsidR="007C1676" w:rsidRDefault="007C1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83408"/>
      <w:docPartObj>
        <w:docPartGallery w:val="Page Numbers (Bottom of Page)"/>
        <w:docPartUnique/>
      </w:docPartObj>
    </w:sdtPr>
    <w:sdtEndPr>
      <w:rPr>
        <w:rStyle w:val="PageNumber"/>
        <w:rFonts w:eastAsia="MS Mincho"/>
      </w:rPr>
    </w:sdtEndPr>
    <w:sdtContent>
      <w:p w14:paraId="725BFE71" w14:textId="77777777" w:rsidR="007C1676" w:rsidRPr="00CD6F3C" w:rsidRDefault="007C1676" w:rsidP="00CD6F3C">
        <w:pPr>
          <w:pStyle w:val="Footer"/>
          <w:rPr>
            <w:rStyle w:val="PageNumber"/>
            <w:rFonts w:eastAsia="MS Mincho"/>
          </w:rPr>
        </w:pPr>
        <w:r w:rsidRPr="00CD6F3C">
          <w:rPr>
            <w:rStyle w:val="PageNumber"/>
            <w:rFonts w:eastAsia="MS Mincho"/>
          </w:rPr>
          <w:t xml:space="preserve">- </w:t>
        </w:r>
        <w:r w:rsidRPr="00CD6F3C">
          <w:rPr>
            <w:rStyle w:val="PageNumber"/>
            <w:rFonts w:eastAsia="MS Mincho"/>
          </w:rPr>
          <w:fldChar w:fldCharType="begin"/>
        </w:r>
        <w:r w:rsidRPr="00CD6F3C">
          <w:rPr>
            <w:rStyle w:val="PageNumber"/>
            <w:rFonts w:eastAsia="MS Mincho"/>
          </w:rPr>
          <w:instrText xml:space="preserve"> PAGE   \* MERGEFORMAT </w:instrText>
        </w:r>
        <w:r w:rsidRPr="00CD6F3C">
          <w:rPr>
            <w:rStyle w:val="PageNumber"/>
            <w:rFonts w:eastAsia="MS Mincho"/>
          </w:rPr>
          <w:fldChar w:fldCharType="separate"/>
        </w:r>
        <w:r>
          <w:rPr>
            <w:rStyle w:val="PageNumber"/>
            <w:rFonts w:eastAsia="MS Mincho"/>
            <w:noProof/>
          </w:rPr>
          <w:t>44</w:t>
        </w:r>
        <w:r w:rsidRPr="00CD6F3C">
          <w:rPr>
            <w:rStyle w:val="PageNumber"/>
            <w:rFonts w:eastAsia="MS Mincho"/>
          </w:rPr>
          <w:fldChar w:fldCharType="end"/>
        </w:r>
        <w:r w:rsidRPr="00CD6F3C">
          <w:rPr>
            <w:rStyle w:val="PageNumber"/>
            <w:rFonts w:eastAsia="MS Mincho"/>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313" w14:textId="77777777" w:rsidR="007C1676" w:rsidRDefault="007C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119A" w14:textId="77777777" w:rsidR="006B1666" w:rsidRDefault="006B1666" w:rsidP="007C1676">
      <w:pPr>
        <w:spacing w:after="0" w:line="240" w:lineRule="auto"/>
      </w:pPr>
      <w:r>
        <w:separator/>
      </w:r>
    </w:p>
  </w:footnote>
  <w:footnote w:type="continuationSeparator" w:id="0">
    <w:p w14:paraId="0D1269E1" w14:textId="77777777" w:rsidR="006B1666" w:rsidRDefault="006B1666" w:rsidP="007C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C1A6" w14:textId="77777777" w:rsidR="007C1676" w:rsidRDefault="007C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5101" w14:textId="77777777" w:rsidR="007C1676" w:rsidRDefault="007C1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EF88" w14:textId="77777777" w:rsidR="007C1676" w:rsidRDefault="007C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75178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76"/>
    <w:rsid w:val="000A224F"/>
    <w:rsid w:val="000B3F7D"/>
    <w:rsid w:val="000B6408"/>
    <w:rsid w:val="000F1613"/>
    <w:rsid w:val="001063C1"/>
    <w:rsid w:val="00110066"/>
    <w:rsid w:val="0011301F"/>
    <w:rsid w:val="00152CBA"/>
    <w:rsid w:val="00191D2A"/>
    <w:rsid w:val="001F1C09"/>
    <w:rsid w:val="0021322C"/>
    <w:rsid w:val="002B28EF"/>
    <w:rsid w:val="002F1BF1"/>
    <w:rsid w:val="003255C9"/>
    <w:rsid w:val="00370ABB"/>
    <w:rsid w:val="00387840"/>
    <w:rsid w:val="003B1DD5"/>
    <w:rsid w:val="003C3B77"/>
    <w:rsid w:val="003F0C9B"/>
    <w:rsid w:val="003F0EBB"/>
    <w:rsid w:val="00464984"/>
    <w:rsid w:val="004F26E2"/>
    <w:rsid w:val="00563E80"/>
    <w:rsid w:val="005817DB"/>
    <w:rsid w:val="005A3A67"/>
    <w:rsid w:val="005D01D0"/>
    <w:rsid w:val="005D11F0"/>
    <w:rsid w:val="006039AD"/>
    <w:rsid w:val="00616045"/>
    <w:rsid w:val="00686861"/>
    <w:rsid w:val="006A63DA"/>
    <w:rsid w:val="006B1666"/>
    <w:rsid w:val="006B22F5"/>
    <w:rsid w:val="006F36D7"/>
    <w:rsid w:val="0070624B"/>
    <w:rsid w:val="007221BE"/>
    <w:rsid w:val="00750309"/>
    <w:rsid w:val="007819FC"/>
    <w:rsid w:val="00797D4D"/>
    <w:rsid w:val="007C1676"/>
    <w:rsid w:val="007E4D44"/>
    <w:rsid w:val="00825427"/>
    <w:rsid w:val="008423F7"/>
    <w:rsid w:val="008552E9"/>
    <w:rsid w:val="008C605B"/>
    <w:rsid w:val="00900EC4"/>
    <w:rsid w:val="00953234"/>
    <w:rsid w:val="009566CC"/>
    <w:rsid w:val="009B564A"/>
    <w:rsid w:val="009F47FC"/>
    <w:rsid w:val="00A105DA"/>
    <w:rsid w:val="00A1463B"/>
    <w:rsid w:val="00A21206"/>
    <w:rsid w:val="00A63453"/>
    <w:rsid w:val="00AA68D0"/>
    <w:rsid w:val="00B03F36"/>
    <w:rsid w:val="00B86E6D"/>
    <w:rsid w:val="00B86F88"/>
    <w:rsid w:val="00BE66E8"/>
    <w:rsid w:val="00C128A6"/>
    <w:rsid w:val="00C1414F"/>
    <w:rsid w:val="00C57A09"/>
    <w:rsid w:val="00C749AA"/>
    <w:rsid w:val="00C85A92"/>
    <w:rsid w:val="00C95D46"/>
    <w:rsid w:val="00CC7C9E"/>
    <w:rsid w:val="00CD3F7E"/>
    <w:rsid w:val="00CD7484"/>
    <w:rsid w:val="00D00EB9"/>
    <w:rsid w:val="00D172A2"/>
    <w:rsid w:val="00D17B26"/>
    <w:rsid w:val="00D52AC1"/>
    <w:rsid w:val="00D73D36"/>
    <w:rsid w:val="00D7402B"/>
    <w:rsid w:val="00DC6580"/>
    <w:rsid w:val="00DD1DBC"/>
    <w:rsid w:val="00DE27B5"/>
    <w:rsid w:val="00E12196"/>
    <w:rsid w:val="00E1611F"/>
    <w:rsid w:val="00E41037"/>
    <w:rsid w:val="00E4112C"/>
    <w:rsid w:val="00E72AE2"/>
    <w:rsid w:val="00E95C21"/>
    <w:rsid w:val="00EA435E"/>
    <w:rsid w:val="00F02796"/>
    <w:rsid w:val="00F242B1"/>
    <w:rsid w:val="00F466D5"/>
    <w:rsid w:val="00F87B6B"/>
    <w:rsid w:val="00FA17A5"/>
    <w:rsid w:val="00FB068E"/>
    <w:rsid w:val="00FE6A2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B315"/>
  <w15:chartTrackingRefBased/>
  <w15:docId w15:val="{F526E3CC-EA4F-4FD6-9AD7-0707C3F4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676"/>
    <w:rPr>
      <w:sz w:val="20"/>
      <w:szCs w:val="20"/>
    </w:rPr>
  </w:style>
  <w:style w:type="paragraph" w:styleId="Footer">
    <w:name w:val="footer"/>
    <w:basedOn w:val="Normal"/>
    <w:link w:val="FooterChar"/>
    <w:uiPriority w:val="99"/>
    <w:semiHidden/>
    <w:unhideWhenUsed/>
    <w:rsid w:val="007C167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1676"/>
  </w:style>
  <w:style w:type="table" w:customStyle="1" w:styleId="TableGrid1">
    <w:name w:val="Table Grid1"/>
    <w:basedOn w:val="TableNormal"/>
    <w:next w:val="TableGrid"/>
    <w:uiPriority w:val="59"/>
    <w:rsid w:val="007C1676"/>
    <w:pPr>
      <w:spacing w:after="0" w:line="240" w:lineRule="auto"/>
    </w:pPr>
    <w:rPr>
      <w:kern w:val="0"/>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7C1676"/>
  </w:style>
  <w:style w:type="character" w:styleId="PageNumber">
    <w:name w:val="page number"/>
    <w:basedOn w:val="DefaultParagraphFont"/>
    <w:uiPriority w:val="99"/>
    <w:semiHidden/>
    <w:unhideWhenUsed/>
    <w:rsid w:val="007C1676"/>
  </w:style>
  <w:style w:type="paragraph" w:styleId="Header">
    <w:name w:val="header"/>
    <w:basedOn w:val="Normal"/>
    <w:link w:val="HeaderChar"/>
    <w:uiPriority w:val="99"/>
    <w:unhideWhenUsed/>
    <w:rsid w:val="007C1676"/>
    <w:pPr>
      <w:tabs>
        <w:tab w:val="center" w:pos="4536"/>
        <w:tab w:val="right" w:pos="9072"/>
      </w:tabs>
      <w:spacing w:after="0" w:line="240" w:lineRule="auto"/>
    </w:pPr>
    <w:rPr>
      <w:kern w:val="0"/>
      <w:lang w:bidi="ar-SA"/>
      <w14:ligatures w14:val="none"/>
    </w:rPr>
  </w:style>
  <w:style w:type="character" w:customStyle="1" w:styleId="HeaderChar">
    <w:name w:val="Header Char"/>
    <w:basedOn w:val="DefaultParagraphFont"/>
    <w:link w:val="Header"/>
    <w:uiPriority w:val="99"/>
    <w:rsid w:val="007C1676"/>
    <w:rPr>
      <w:kern w:val="0"/>
      <w:lang w:bidi="ar-SA"/>
      <w14:ligatures w14:val="none"/>
    </w:rPr>
  </w:style>
  <w:style w:type="table" w:styleId="TableGrid">
    <w:name w:val="Table Grid"/>
    <w:basedOn w:val="TableNormal"/>
    <w:uiPriority w:val="39"/>
    <w:rsid w:val="007C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7FC"/>
    <w:pPr>
      <w:ind w:left="720"/>
      <w:contextualSpacing/>
    </w:pPr>
  </w:style>
  <w:style w:type="paragraph" w:styleId="Revision">
    <w:name w:val="Revision"/>
    <w:hidden/>
    <w:uiPriority w:val="99"/>
    <w:semiHidden/>
    <w:rsid w:val="00C85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661">
      <w:bodyDiv w:val="1"/>
      <w:marLeft w:val="0"/>
      <w:marRight w:val="0"/>
      <w:marTop w:val="0"/>
      <w:marBottom w:val="0"/>
      <w:divBdr>
        <w:top w:val="none" w:sz="0" w:space="0" w:color="auto"/>
        <w:left w:val="none" w:sz="0" w:space="0" w:color="auto"/>
        <w:bottom w:val="none" w:sz="0" w:space="0" w:color="auto"/>
        <w:right w:val="none" w:sz="0" w:space="0" w:color="auto"/>
      </w:divBdr>
    </w:div>
    <w:div w:id="751466487">
      <w:bodyDiv w:val="1"/>
      <w:marLeft w:val="0"/>
      <w:marRight w:val="0"/>
      <w:marTop w:val="0"/>
      <w:marBottom w:val="0"/>
      <w:divBdr>
        <w:top w:val="none" w:sz="0" w:space="0" w:color="auto"/>
        <w:left w:val="none" w:sz="0" w:space="0" w:color="auto"/>
        <w:bottom w:val="none" w:sz="0" w:space="0" w:color="auto"/>
        <w:right w:val="none" w:sz="0" w:space="0" w:color="auto"/>
      </w:divBdr>
    </w:div>
    <w:div w:id="886256501">
      <w:bodyDiv w:val="1"/>
      <w:marLeft w:val="0"/>
      <w:marRight w:val="0"/>
      <w:marTop w:val="0"/>
      <w:marBottom w:val="0"/>
      <w:divBdr>
        <w:top w:val="none" w:sz="0" w:space="0" w:color="auto"/>
        <w:left w:val="none" w:sz="0" w:space="0" w:color="auto"/>
        <w:bottom w:val="none" w:sz="0" w:space="0" w:color="auto"/>
        <w:right w:val="none" w:sz="0" w:space="0" w:color="auto"/>
      </w:divBdr>
    </w:div>
    <w:div w:id="1051806213">
      <w:bodyDiv w:val="1"/>
      <w:marLeft w:val="0"/>
      <w:marRight w:val="0"/>
      <w:marTop w:val="0"/>
      <w:marBottom w:val="0"/>
      <w:divBdr>
        <w:top w:val="none" w:sz="0" w:space="0" w:color="auto"/>
        <w:left w:val="none" w:sz="0" w:space="0" w:color="auto"/>
        <w:bottom w:val="none" w:sz="0" w:space="0" w:color="auto"/>
        <w:right w:val="none" w:sz="0" w:space="0" w:color="auto"/>
      </w:divBdr>
    </w:div>
    <w:div w:id="1136722202">
      <w:bodyDiv w:val="1"/>
      <w:marLeft w:val="0"/>
      <w:marRight w:val="0"/>
      <w:marTop w:val="0"/>
      <w:marBottom w:val="0"/>
      <w:divBdr>
        <w:top w:val="none" w:sz="0" w:space="0" w:color="auto"/>
        <w:left w:val="none" w:sz="0" w:space="0" w:color="auto"/>
        <w:bottom w:val="none" w:sz="0" w:space="0" w:color="auto"/>
        <w:right w:val="none" w:sz="0" w:space="0" w:color="auto"/>
      </w:divBdr>
    </w:div>
    <w:div w:id="1512452963">
      <w:bodyDiv w:val="1"/>
      <w:marLeft w:val="0"/>
      <w:marRight w:val="0"/>
      <w:marTop w:val="0"/>
      <w:marBottom w:val="0"/>
      <w:divBdr>
        <w:top w:val="none" w:sz="0" w:space="0" w:color="auto"/>
        <w:left w:val="none" w:sz="0" w:space="0" w:color="auto"/>
        <w:bottom w:val="none" w:sz="0" w:space="0" w:color="auto"/>
        <w:right w:val="none" w:sz="0" w:space="0" w:color="auto"/>
      </w:divBdr>
    </w:div>
    <w:div w:id="1839686799">
      <w:bodyDiv w:val="1"/>
      <w:marLeft w:val="0"/>
      <w:marRight w:val="0"/>
      <w:marTop w:val="0"/>
      <w:marBottom w:val="0"/>
      <w:divBdr>
        <w:top w:val="none" w:sz="0" w:space="0" w:color="auto"/>
        <w:left w:val="none" w:sz="0" w:space="0" w:color="auto"/>
        <w:bottom w:val="none" w:sz="0" w:space="0" w:color="auto"/>
        <w:right w:val="none" w:sz="0" w:space="0" w:color="auto"/>
      </w:divBdr>
    </w:div>
    <w:div w:id="19513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DB423-0C14-4ADD-9E2B-65210D587851}">
  <ds:schemaRefs>
    <ds:schemaRef ds:uri="http://schemas.microsoft.com/sharepoint/v3/contenttype/forms"/>
  </ds:schemaRefs>
</ds:datastoreItem>
</file>

<file path=customXml/itemProps2.xml><?xml version="1.0" encoding="utf-8"?>
<ds:datastoreItem xmlns:ds="http://schemas.openxmlformats.org/officeDocument/2006/customXml" ds:itemID="{4665B083-B0FC-4126-BD93-FD5319C53416}">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5828CBDE-3C36-4E76-8319-CEE37CF6E1B9}">
  <ds:schemaRefs>
    <ds:schemaRef ds:uri="http://schemas.openxmlformats.org/officeDocument/2006/bibliography"/>
  </ds:schemaRefs>
</ds:datastoreItem>
</file>

<file path=customXml/itemProps4.xml><?xml version="1.0" encoding="utf-8"?>
<ds:datastoreItem xmlns:ds="http://schemas.openxmlformats.org/officeDocument/2006/customXml" ds:itemID="{E357747A-8E97-469F-BB19-35673486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5284</Words>
  <Characters>30122</Characters>
  <Application>Microsoft Office Word</Application>
  <DocSecurity>0</DocSecurity>
  <Lines>251</Lines>
  <Paragraphs>70</Paragraphs>
  <ScaleCrop>false</ScaleCrop>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Karabatova, Tatiana</dc:creator>
  <cp:keywords/>
  <dc:description/>
  <cp:lastModifiedBy>Luke Sayer</cp:lastModifiedBy>
  <cp:revision>12</cp:revision>
  <dcterms:created xsi:type="dcterms:W3CDTF">2024-01-09T08:27:00Z</dcterms:created>
  <dcterms:modified xsi:type="dcterms:W3CDTF">2024-01-24T18:30:00Z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