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780A4" w14:textId="57C7B3C6" w:rsidR="009D4A74" w:rsidRPr="00D97EEA" w:rsidRDefault="009D4A74" w:rsidP="009D4A74">
      <w:pPr>
        <w:pStyle w:val="Heading1"/>
        <w:numPr>
          <w:ilvl w:val="0"/>
          <w:numId w:val="0"/>
        </w:numPr>
        <w:jc w:val="center"/>
        <w:rPr>
          <w:b w:val="0"/>
          <w:sz w:val="20"/>
          <w:szCs w:val="20"/>
        </w:rPr>
      </w:pPr>
      <w:r w:rsidRPr="00D97EEA">
        <w:rPr>
          <w:sz w:val="20"/>
          <w:szCs w:val="20"/>
        </w:rPr>
        <w:t>EMISSIONSSPECIFIK SAMMANFATTNING</w:t>
      </w:r>
    </w:p>
    <w:p w14:paraId="3E5EFCA1" w14:textId="77777777" w:rsidR="009D4A74" w:rsidRPr="00D97EEA" w:rsidRDefault="009D4A74" w:rsidP="009D4A74">
      <w:pPr>
        <w:pStyle w:val="Heading2"/>
        <w:keepNext w:val="0"/>
        <w:numPr>
          <w:ilvl w:val="1"/>
          <w:numId w:val="42"/>
        </w:numPr>
        <w:tabs>
          <w:tab w:val="clear" w:pos="720"/>
        </w:tabs>
        <w:spacing w:after="120"/>
        <w:rPr>
          <w:b w:val="0"/>
          <w:sz w:val="20"/>
          <w:szCs w:val="20"/>
        </w:rPr>
      </w:pPr>
      <w:r w:rsidRPr="00D97EEA">
        <w:rPr>
          <w:sz w:val="20"/>
          <w:szCs w:val="20"/>
        </w:rPr>
        <w:t>INLEDNING OCH VARNINGAR</w:t>
      </w:r>
    </w:p>
    <w:p w14:paraId="5D0E794A" w14:textId="7E0F426A" w:rsidR="009D4A74" w:rsidRPr="00D97EEA" w:rsidRDefault="009D4A74" w:rsidP="009D4A74">
      <w:pPr>
        <w:pStyle w:val="wText1"/>
        <w:spacing w:after="60"/>
        <w:ind w:left="0"/>
        <w:rPr>
          <w:sz w:val="20"/>
          <w:szCs w:val="20"/>
          <w:lang w:val="sv-SE"/>
        </w:rPr>
      </w:pPr>
      <w:r w:rsidRPr="00D97EEA">
        <w:rPr>
          <w:sz w:val="20"/>
          <w:szCs w:val="20"/>
          <w:lang w:val="sv-SE"/>
        </w:rPr>
        <w:t>Denna sammanfattning avser det offentliga erbjudandet av säkerställda obligationer (”</w:t>
      </w:r>
      <w:r w:rsidRPr="00D97EEA">
        <w:rPr>
          <w:b/>
          <w:bCs/>
          <w:sz w:val="20"/>
          <w:szCs w:val="20"/>
          <w:lang w:val="sv-SE"/>
        </w:rPr>
        <w:t>obligationerna</w:t>
      </w:r>
      <w:r w:rsidRPr="00D97EEA">
        <w:rPr>
          <w:sz w:val="20"/>
          <w:szCs w:val="20"/>
          <w:lang w:val="sv-SE"/>
        </w:rPr>
        <w:t>”) i Österrike, Tjeckien, Danmark, Tyskland, Irland, Italien, Luxemburg, Malta, Norge, Nederländerna, Finland, Frankrike, Polen, Spanien, Sverige och Schweiz och Obligationernas tillträde till handel på den reglerade marknaden (regulierter Markt) Frankfurtbörsen och på SIX Swiss Exchange. Obligationernas internationella värdepappersidentifieringsnummer (”</w:t>
      </w:r>
      <w:r w:rsidRPr="00D97EEA">
        <w:rPr>
          <w:b/>
          <w:sz w:val="20"/>
          <w:szCs w:val="20"/>
          <w:lang w:val="sv-SE"/>
        </w:rPr>
        <w:t>ISIN-kod</w:t>
      </w:r>
      <w:r w:rsidRPr="00D97EEA">
        <w:rPr>
          <w:sz w:val="20"/>
          <w:szCs w:val="20"/>
          <w:lang w:val="sv-SE"/>
        </w:rPr>
        <w:t xml:space="preserve">”) är </w:t>
      </w:r>
      <w:r w:rsidR="00E5082B" w:rsidRPr="00D97EEA">
        <w:rPr>
          <w:sz w:val="20"/>
          <w:szCs w:val="20"/>
          <w:lang w:val="sv-SE"/>
        </w:rPr>
        <w:t>DE000A3G90G</w:t>
      </w:r>
      <w:proofErr w:type="gramStart"/>
      <w:r w:rsidR="00E5082B" w:rsidRPr="00D97EEA">
        <w:rPr>
          <w:sz w:val="20"/>
          <w:szCs w:val="20"/>
          <w:lang w:val="sv-SE"/>
        </w:rPr>
        <w:t xml:space="preserve">9 </w:t>
      </w:r>
      <w:r w:rsidRPr="00D97EEA">
        <w:rPr>
          <w:sz w:val="20"/>
          <w:szCs w:val="20"/>
          <w:lang w:val="sv-SE"/>
        </w:rPr>
        <w:t>.</w:t>
      </w:r>
      <w:proofErr w:type="gramEnd"/>
    </w:p>
    <w:p w14:paraId="0F4FECB2" w14:textId="651282FB" w:rsidR="009D4A74" w:rsidRPr="00D97EEA" w:rsidRDefault="009D4A74" w:rsidP="009D4A74">
      <w:pPr>
        <w:pStyle w:val="wText1"/>
        <w:spacing w:after="60"/>
        <w:ind w:left="0"/>
        <w:rPr>
          <w:sz w:val="20"/>
          <w:szCs w:val="20"/>
        </w:rPr>
      </w:pPr>
      <w:r w:rsidRPr="00D97EEA">
        <w:rPr>
          <w:sz w:val="20"/>
          <w:szCs w:val="20"/>
          <w:lang w:val="sv-SE"/>
        </w:rPr>
        <w:t>Datum för godkännande av grundprospektet är den 2</w:t>
      </w:r>
      <w:r w:rsidR="00E5082B" w:rsidRPr="00D97EEA">
        <w:rPr>
          <w:sz w:val="20"/>
          <w:szCs w:val="20"/>
          <w:lang w:val="sv-SE"/>
        </w:rPr>
        <w:t>1</w:t>
      </w:r>
      <w:r w:rsidRPr="00D97EEA">
        <w:rPr>
          <w:sz w:val="20"/>
          <w:szCs w:val="20"/>
          <w:lang w:val="sv-SE"/>
        </w:rPr>
        <w:t xml:space="preserve"> november 202</w:t>
      </w:r>
      <w:r w:rsidR="00E5082B" w:rsidRPr="00D97EEA">
        <w:rPr>
          <w:sz w:val="20"/>
          <w:szCs w:val="20"/>
          <w:lang w:val="sv-SE"/>
        </w:rPr>
        <w:t>3</w:t>
      </w:r>
      <w:r w:rsidRPr="00D97EEA">
        <w:rPr>
          <w:sz w:val="20"/>
          <w:szCs w:val="20"/>
          <w:lang w:val="sv-SE"/>
        </w:rPr>
        <w:t xml:space="preserve"> (”</w:t>
      </w:r>
      <w:r w:rsidRPr="00D97EEA">
        <w:rPr>
          <w:b/>
          <w:sz w:val="20"/>
          <w:szCs w:val="20"/>
          <w:lang w:val="sv-SE"/>
        </w:rPr>
        <w:t>grundprospektet</w:t>
      </w:r>
      <w:r w:rsidRPr="00D97EEA">
        <w:rPr>
          <w:sz w:val="20"/>
          <w:szCs w:val="20"/>
          <w:lang w:val="sv-SE"/>
        </w:rPr>
        <w:t xml:space="preserve">”), och godkändes av </w:t>
      </w:r>
      <w:r w:rsidRPr="00D97EEA">
        <w:rPr>
          <w:i/>
          <w:iCs/>
          <w:sz w:val="20"/>
          <w:szCs w:val="20"/>
          <w:lang w:val="sv-SE"/>
        </w:rPr>
        <w:t xml:space="preserve">Bundesanstalt für Finanzdienstleistungsaufsicht </w:t>
      </w:r>
      <w:r w:rsidRPr="00D97EEA">
        <w:rPr>
          <w:sz w:val="20"/>
          <w:szCs w:val="20"/>
          <w:lang w:val="sv-SE"/>
        </w:rPr>
        <w:t>(”</w:t>
      </w:r>
      <w:r w:rsidRPr="00D97EEA">
        <w:rPr>
          <w:b/>
          <w:bCs/>
          <w:sz w:val="20"/>
          <w:szCs w:val="20"/>
          <w:lang w:val="sv-SE"/>
        </w:rPr>
        <w:t>BaFin</w:t>
      </w:r>
      <w:r w:rsidRPr="00D97EEA">
        <w:rPr>
          <w:sz w:val="20"/>
          <w:szCs w:val="20"/>
          <w:lang w:val="sv-SE"/>
        </w:rPr>
        <w:t xml:space="preserve">”), Marie-Curie-Str. </w:t>
      </w:r>
      <w:r w:rsidRPr="00D97EEA">
        <w:rPr>
          <w:sz w:val="20"/>
          <w:szCs w:val="20"/>
        </w:rPr>
        <w:t>24–28, 60439 Frankfurt am Main, Tyskland, e-post: poststelle@bafin.de, telefon: +49 (0)228 4108-0.</w:t>
      </w:r>
    </w:p>
    <w:p w14:paraId="08380FDB" w14:textId="77777777" w:rsidR="009D4A74" w:rsidRPr="00D97EEA" w:rsidRDefault="009D4A74" w:rsidP="009D4A74">
      <w:pPr>
        <w:pStyle w:val="wText1"/>
        <w:spacing w:after="60"/>
        <w:ind w:left="0"/>
        <w:rPr>
          <w:sz w:val="20"/>
          <w:szCs w:val="20"/>
          <w:lang w:val="sv-SE"/>
        </w:rPr>
      </w:pPr>
      <w:r w:rsidRPr="00D97EEA">
        <w:rPr>
          <w:sz w:val="20"/>
          <w:szCs w:val="20"/>
          <w:lang w:val="sv-SE"/>
        </w:rPr>
        <w:t>Denna sammanfattning bör läsas som en introduktion till detta grundprospekt. Ett eventuellt beslut att investera i emittentens obligationer ska baseras på en investerares bedömning av grundprospektet i sin helhet. Investerare kan förlora hela eller delar av sitt kapital som investerats i emittentens obligationer. ETC Issuance GmbH med säte på Thurn- und Taxis-Platz 6, 60313 Frankfurt am Main, Tyskland (”</w:t>
      </w:r>
      <w:r w:rsidRPr="00D97EEA">
        <w:rPr>
          <w:b/>
          <w:bCs/>
          <w:sz w:val="20"/>
          <w:szCs w:val="20"/>
          <w:lang w:val="sv-SE"/>
        </w:rPr>
        <w:t>emittenten</w:t>
      </w:r>
      <w:r w:rsidRPr="00D97EEA">
        <w:rPr>
          <w:sz w:val="20"/>
          <w:szCs w:val="20"/>
          <w:lang w:val="sv-SE"/>
        </w:rPr>
        <w:t xml:space="preserve">”) ansvarar för informationen i denna sammanfattning och dess tyska översättning. Emittenten kan endast hållas ansvarig om sammanfattningen är vilseledande, felaktig eller oförenlig med de andra delarna av grundprospektet eller om den inte, tillsammans med de andra delarna av grundprospektet, ger nyckelinformation som hjälper investerare att bedöma en investering i värdepapperen. Om talan väcks i domstol angående informationen i grundprospektet kan den investerare som är kärande enligt nationell rätt i medlemsstater i </w:t>
      </w:r>
      <w:proofErr w:type="gramStart"/>
      <w:r w:rsidRPr="00D97EEA">
        <w:rPr>
          <w:sz w:val="20"/>
          <w:szCs w:val="20"/>
          <w:lang w:val="sv-SE"/>
        </w:rPr>
        <w:t>Europeiska</w:t>
      </w:r>
      <w:proofErr w:type="gramEnd"/>
      <w:r w:rsidRPr="00D97EEA">
        <w:rPr>
          <w:sz w:val="20"/>
          <w:szCs w:val="20"/>
          <w:lang w:val="sv-SE"/>
        </w:rPr>
        <w:t xml:space="preserve"> ekonomiska samarbetsområdet (EES) bli tvungen att stå för kostnaderna för översättning av grundprospektet innan de rättsliga förfarandena inleds.</w:t>
      </w:r>
    </w:p>
    <w:p w14:paraId="69C4F7F5" w14:textId="75F5DF30" w:rsidR="009D4A74" w:rsidRPr="00D97EEA" w:rsidRDefault="009D4A74" w:rsidP="009D4A74">
      <w:pPr>
        <w:pStyle w:val="wText1"/>
        <w:spacing w:afterLines="40" w:after="96"/>
        <w:ind w:left="0"/>
        <w:rPr>
          <w:sz w:val="20"/>
          <w:szCs w:val="20"/>
          <w:lang w:val="sv-SE"/>
        </w:rPr>
      </w:pPr>
      <w:proofErr w:type="spellStart"/>
      <w:r w:rsidRPr="00D97EEA">
        <w:rPr>
          <w:sz w:val="20"/>
          <w:szCs w:val="20"/>
          <w:lang w:val="sv-SE"/>
        </w:rPr>
        <w:t>Emittentens</w:t>
      </w:r>
      <w:proofErr w:type="spellEnd"/>
      <w:r w:rsidRPr="00D97EEA">
        <w:rPr>
          <w:sz w:val="20"/>
          <w:szCs w:val="20"/>
          <w:lang w:val="sv-SE"/>
        </w:rPr>
        <w:t xml:space="preserve"> identifieringskod för juridiska personer </w:t>
      </w:r>
      <w:r w:rsidR="003A71AB" w:rsidRPr="00D97EEA">
        <w:rPr>
          <w:sz w:val="20"/>
          <w:szCs w:val="20"/>
          <w:lang w:val="sv-SE"/>
        </w:rPr>
        <w:t>(”</w:t>
      </w:r>
      <w:r w:rsidR="003A71AB" w:rsidRPr="00D97EEA">
        <w:rPr>
          <w:b/>
          <w:bCs/>
          <w:sz w:val="20"/>
          <w:szCs w:val="20"/>
          <w:lang w:val="sv-SE"/>
        </w:rPr>
        <w:t>LEI</w:t>
      </w:r>
      <w:r w:rsidR="003A71AB" w:rsidRPr="00D97EEA">
        <w:rPr>
          <w:sz w:val="20"/>
          <w:szCs w:val="20"/>
          <w:lang w:val="sv-SE"/>
        </w:rPr>
        <w:t xml:space="preserve">”) </w:t>
      </w:r>
      <w:r w:rsidRPr="00D97EEA">
        <w:rPr>
          <w:sz w:val="20"/>
          <w:szCs w:val="20"/>
          <w:lang w:val="sv-SE"/>
        </w:rPr>
        <w:t>är 875500BTZPKWM4X8R658.</w:t>
      </w:r>
    </w:p>
    <w:p w14:paraId="44696312" w14:textId="77777777" w:rsidR="009D4A74" w:rsidRPr="00D97EEA" w:rsidRDefault="009D4A74" w:rsidP="009D4A74">
      <w:pPr>
        <w:spacing w:afterLines="40" w:after="96"/>
        <w:jc w:val="both"/>
        <w:rPr>
          <w:color w:val="000000" w:themeColor="text1"/>
          <w:sz w:val="20"/>
          <w:szCs w:val="20"/>
          <w:lang w:val="sv-SE"/>
        </w:rPr>
      </w:pPr>
      <w:r w:rsidRPr="00D97EEA">
        <w:rPr>
          <w:color w:val="000000" w:themeColor="text1"/>
          <w:sz w:val="20"/>
          <w:lang w:val="sv-SE"/>
        </w:rPr>
        <w:t>Steubing AG Wertpapierhandelsbank, med säte på Goethestrasse 29, 60313</w:t>
      </w:r>
      <w:r w:rsidRPr="00D97EEA">
        <w:rPr>
          <w:color w:val="000000" w:themeColor="text1"/>
          <w:sz w:val="20"/>
          <w:szCs w:val="20"/>
          <w:lang w:val="sv-SE"/>
        </w:rPr>
        <w:t xml:space="preserve"> </w:t>
      </w:r>
      <w:r w:rsidRPr="00D97EEA">
        <w:rPr>
          <w:color w:val="000000" w:themeColor="text1"/>
          <w:sz w:val="20"/>
          <w:lang w:val="sv-SE"/>
        </w:rPr>
        <w:t>Frankfurt am Main, Tyskland, identifieringskod för juridiska personer (LEI) 39120043LUI1WJS8IX30, har ansökt om att obligationer ska tas upp till handel på den reglerade marknaden.</w:t>
      </w:r>
    </w:p>
    <w:p w14:paraId="1A0A870D" w14:textId="74801B50" w:rsidR="009D4A74" w:rsidRPr="00D97EEA" w:rsidRDefault="009D0F44" w:rsidP="009D4A74">
      <w:pPr>
        <w:pStyle w:val="Heading2"/>
        <w:numPr>
          <w:ilvl w:val="1"/>
          <w:numId w:val="42"/>
        </w:numPr>
        <w:tabs>
          <w:tab w:val="clear" w:pos="720"/>
        </w:tabs>
        <w:rPr>
          <w:b w:val="0"/>
          <w:sz w:val="20"/>
          <w:szCs w:val="20"/>
        </w:rPr>
      </w:pPr>
      <w:r w:rsidRPr="00D97EEA">
        <w:rPr>
          <w:sz w:val="20"/>
          <w:szCs w:val="20"/>
        </w:rPr>
        <w:t>NYCKELINFORMATION</w:t>
      </w:r>
      <w:r w:rsidR="009D4A74" w:rsidRPr="00D97EEA">
        <w:rPr>
          <w:sz w:val="20"/>
          <w:szCs w:val="20"/>
        </w:rPr>
        <w:t>OM EMITTENTEN</w:t>
      </w:r>
    </w:p>
    <w:p w14:paraId="20EBCB93" w14:textId="77777777" w:rsidR="009D4A74" w:rsidRPr="00D97EEA" w:rsidRDefault="009D4A74" w:rsidP="009D4A74">
      <w:pPr>
        <w:pStyle w:val="Heading3"/>
        <w:numPr>
          <w:ilvl w:val="2"/>
          <w:numId w:val="42"/>
        </w:numPr>
        <w:tabs>
          <w:tab w:val="clear" w:pos="1004"/>
          <w:tab w:val="num" w:pos="720"/>
        </w:tabs>
        <w:spacing w:after="60"/>
        <w:ind w:left="720"/>
        <w:rPr>
          <w:b/>
          <w:bCs/>
          <w:sz w:val="20"/>
          <w:szCs w:val="20"/>
          <w:lang w:val="sv-SE"/>
        </w:rPr>
      </w:pPr>
      <w:r w:rsidRPr="00D97EEA">
        <w:rPr>
          <w:b/>
          <w:bCs/>
          <w:sz w:val="20"/>
          <w:szCs w:val="20"/>
          <w:lang w:val="sv-SE"/>
        </w:rPr>
        <w:t>Vem värdepapperens emittent?</w:t>
      </w:r>
    </w:p>
    <w:p w14:paraId="10ED95AE" w14:textId="77777777" w:rsidR="009D4A74" w:rsidRPr="00D97EEA" w:rsidRDefault="009D4A74" w:rsidP="009D4A74">
      <w:pPr>
        <w:pStyle w:val="wText1"/>
        <w:spacing w:after="60"/>
        <w:ind w:left="0"/>
        <w:rPr>
          <w:sz w:val="20"/>
          <w:szCs w:val="20"/>
          <w:lang w:val="sv-SE"/>
        </w:rPr>
      </w:pPr>
      <w:r w:rsidRPr="00D97EEA">
        <w:rPr>
          <w:sz w:val="20"/>
          <w:szCs w:val="20"/>
          <w:lang w:val="sv-SE"/>
        </w:rPr>
        <w:t>Emittentens juridiska och kommersiella namn är ETC Issuance GmbH. Emittentens LEI-nummer är 875500BTZPKWM4X8R658. Emittenten har bildats och verkar enligt tysk lag och med huvudsakligt verksamhetsställe på adressen Gridiron, One Pancras Square, London, N1C 4 AG, Storbritannien. Emittentens adress och säte är Thurn- und Taxis-Platz 6, 60313 Frankfurt am Main, Tyskland och emittenten är registrerad i den lokala domstolens handelsregister (</w:t>
      </w:r>
      <w:r w:rsidRPr="00D97EEA">
        <w:rPr>
          <w:i/>
          <w:iCs/>
          <w:sz w:val="20"/>
          <w:szCs w:val="20"/>
          <w:lang w:val="sv-SE"/>
        </w:rPr>
        <w:t>Amtsgericht</w:t>
      </w:r>
      <w:r w:rsidRPr="00D97EEA">
        <w:rPr>
          <w:sz w:val="20"/>
          <w:szCs w:val="20"/>
          <w:lang w:val="sv-SE"/>
        </w:rPr>
        <w:t xml:space="preserve">) i Frankfurt am Main med numret HRB </w:t>
      </w:r>
      <w:proofErr w:type="gramStart"/>
      <w:r w:rsidRPr="00D97EEA">
        <w:rPr>
          <w:sz w:val="20"/>
          <w:szCs w:val="20"/>
          <w:lang w:val="sv-SE"/>
        </w:rPr>
        <w:t>116604</w:t>
      </w:r>
      <w:proofErr w:type="gramEnd"/>
      <w:r w:rsidRPr="00D97EEA">
        <w:rPr>
          <w:sz w:val="20"/>
          <w:szCs w:val="20"/>
          <w:lang w:val="sv-SE"/>
        </w:rPr>
        <w:t>. Emittentens webbplats är https://www.etc-group.com och telefonnumret är +49 69 8088 3728.</w:t>
      </w:r>
    </w:p>
    <w:p w14:paraId="0593EE6F" w14:textId="77777777" w:rsidR="009D4A74" w:rsidRPr="00D97EEA" w:rsidRDefault="009D4A74" w:rsidP="009D4A74">
      <w:pPr>
        <w:pStyle w:val="Heading4"/>
        <w:keepNext/>
        <w:keepLines/>
        <w:numPr>
          <w:ilvl w:val="3"/>
          <w:numId w:val="42"/>
        </w:numPr>
        <w:tabs>
          <w:tab w:val="clear" w:pos="1146"/>
          <w:tab w:val="num" w:pos="720"/>
        </w:tabs>
        <w:spacing w:after="60"/>
        <w:ind w:left="720"/>
        <w:rPr>
          <w:b/>
          <w:sz w:val="20"/>
          <w:szCs w:val="20"/>
          <w:lang w:val="sv-SE"/>
        </w:rPr>
      </w:pPr>
      <w:r w:rsidRPr="00D97EEA">
        <w:rPr>
          <w:b/>
          <w:sz w:val="20"/>
          <w:szCs w:val="20"/>
          <w:lang w:val="sv-SE"/>
        </w:rPr>
        <w:t>Emittentens huvudsakliga verksamhet</w:t>
      </w:r>
    </w:p>
    <w:p w14:paraId="21272419" w14:textId="2374F5CC" w:rsidR="00E5082B" w:rsidRPr="00D97EEA" w:rsidRDefault="00E5082B" w:rsidP="00E5082B">
      <w:pPr>
        <w:pStyle w:val="wText1"/>
        <w:spacing w:after="60"/>
        <w:ind w:left="0"/>
        <w:rPr>
          <w:sz w:val="20"/>
          <w:szCs w:val="20"/>
          <w:lang w:val="sv-SE"/>
        </w:rPr>
      </w:pPr>
      <w:r w:rsidRPr="00D97EEA">
        <w:rPr>
          <w:sz w:val="20"/>
          <w:szCs w:val="20"/>
          <w:lang w:val="sv-SE"/>
        </w:rPr>
        <w:t>Emittentens huvudsakliga verksamhet är emission av obligationer som är säkerställda genom kryptovalutor och andra digitala tillgångar, inklusive obligationer som också erbjuder en "staking"-funktion. I samband med detta kommer Emittenten att använda tjänsterna från en Staking-leverantör för att engagera sig i staking-aktiviteter i relation till de kryptovalutor som tas emot för teckning av de emitterade obligationerna.</w:t>
      </w:r>
    </w:p>
    <w:p w14:paraId="7A13A038" w14:textId="77777777" w:rsidR="009D4A74" w:rsidRPr="00D97EEA" w:rsidRDefault="009D4A74" w:rsidP="009D4A74">
      <w:pPr>
        <w:pStyle w:val="wText1"/>
        <w:spacing w:after="60"/>
        <w:ind w:left="0"/>
        <w:rPr>
          <w:sz w:val="20"/>
          <w:szCs w:val="20"/>
          <w:lang w:val="sv-SE"/>
        </w:rPr>
      </w:pPr>
      <w:r w:rsidRPr="00D97EEA">
        <w:rPr>
          <w:sz w:val="20"/>
          <w:szCs w:val="20"/>
          <w:lang w:val="sv-SE"/>
        </w:rPr>
        <w:t>Genom emission av obligationerna avser emittenten att tillgodose investerarnas efterfrågan på värdepapper genom vilka investeringar i kryptovalutor och andra digitala tillgångar görs.</w:t>
      </w:r>
    </w:p>
    <w:p w14:paraId="5DF67449" w14:textId="77777777" w:rsidR="009D4A74" w:rsidRPr="00D97EEA" w:rsidRDefault="009D4A74" w:rsidP="009D4A74">
      <w:pPr>
        <w:pStyle w:val="Heading4"/>
        <w:keepNext/>
        <w:keepLines/>
        <w:numPr>
          <w:ilvl w:val="3"/>
          <w:numId w:val="42"/>
        </w:numPr>
        <w:tabs>
          <w:tab w:val="clear" w:pos="1146"/>
          <w:tab w:val="num" w:pos="720"/>
        </w:tabs>
        <w:spacing w:after="60"/>
        <w:ind w:left="720"/>
        <w:rPr>
          <w:b/>
          <w:sz w:val="20"/>
          <w:szCs w:val="20"/>
          <w:lang w:val="sv-SE"/>
        </w:rPr>
      </w:pPr>
      <w:r w:rsidRPr="00D97EEA">
        <w:rPr>
          <w:b/>
          <w:sz w:val="20"/>
          <w:szCs w:val="20"/>
          <w:lang w:val="sv-SE"/>
        </w:rPr>
        <w:t>Större aktieägare</w:t>
      </w:r>
    </w:p>
    <w:p w14:paraId="6D55BE46" w14:textId="2E0F560A" w:rsidR="00E5082B" w:rsidRPr="00D97EEA" w:rsidRDefault="00E5082B" w:rsidP="00E5082B">
      <w:pPr>
        <w:pStyle w:val="wText1"/>
        <w:spacing w:after="60"/>
        <w:ind w:left="0"/>
        <w:rPr>
          <w:sz w:val="20"/>
          <w:szCs w:val="20"/>
          <w:lang w:val="sv-SE"/>
        </w:rPr>
      </w:pPr>
      <w:r w:rsidRPr="00D97EEA">
        <w:rPr>
          <w:sz w:val="20"/>
          <w:szCs w:val="20"/>
          <w:lang w:val="sv-SE"/>
        </w:rPr>
        <w:t>Emittentens enda aktieägare är ETC Management Ltd (”</w:t>
      </w:r>
      <w:r w:rsidRPr="00D97EEA">
        <w:rPr>
          <w:b/>
          <w:bCs/>
          <w:sz w:val="20"/>
          <w:szCs w:val="20"/>
          <w:lang w:val="sv-SE"/>
        </w:rPr>
        <w:t>ETCM</w:t>
      </w:r>
      <w:r w:rsidRPr="00D97EEA">
        <w:rPr>
          <w:sz w:val="20"/>
          <w:szCs w:val="20"/>
          <w:lang w:val="sv-SE"/>
        </w:rPr>
        <w:t>”). ETCM:s enda aktieägare är ETC Holdings Ltd (”</w:t>
      </w:r>
      <w:r w:rsidRPr="00D97EEA">
        <w:rPr>
          <w:b/>
          <w:bCs/>
          <w:sz w:val="20"/>
          <w:szCs w:val="20"/>
          <w:lang w:val="sv-SE"/>
        </w:rPr>
        <w:t>holdingbolaget</w:t>
      </w:r>
      <w:r w:rsidRPr="00D97EEA">
        <w:rPr>
          <w:sz w:val="20"/>
          <w:szCs w:val="20"/>
          <w:lang w:val="sv-SE"/>
        </w:rPr>
        <w:t>”). Aktierna i holdingbolaget är mycket koncentrerade: (i) XTX Investments UK Limited (”</w:t>
      </w:r>
      <w:r w:rsidRPr="00D97EEA">
        <w:rPr>
          <w:b/>
          <w:bCs/>
          <w:sz w:val="20"/>
          <w:szCs w:val="20"/>
          <w:lang w:val="sv-SE"/>
        </w:rPr>
        <w:t>XTX</w:t>
      </w:r>
      <w:r w:rsidRPr="00D97EEA">
        <w:rPr>
          <w:sz w:val="20"/>
          <w:szCs w:val="20"/>
          <w:lang w:val="sv-SE"/>
        </w:rPr>
        <w:t>”) och (ii) MLM Holdings Ltd (”</w:t>
      </w:r>
      <w:r w:rsidRPr="00D97EEA">
        <w:rPr>
          <w:b/>
          <w:bCs/>
          <w:sz w:val="20"/>
          <w:szCs w:val="20"/>
          <w:lang w:val="sv-SE"/>
        </w:rPr>
        <w:t>MLM</w:t>
      </w:r>
      <w:r w:rsidRPr="00D97EEA">
        <w:rPr>
          <w:sz w:val="20"/>
          <w:szCs w:val="20"/>
          <w:lang w:val="sv-SE"/>
        </w:rPr>
        <w:t>”), som tillsammans innehar mer än 50,00 procent av rösterna.</w:t>
      </w:r>
    </w:p>
    <w:p w14:paraId="4307F843" w14:textId="77777777" w:rsidR="009D4A74" w:rsidRPr="00D97EEA" w:rsidRDefault="009D4A74" w:rsidP="009D4A74">
      <w:pPr>
        <w:pStyle w:val="Heading4"/>
        <w:keepNext/>
        <w:keepLines/>
        <w:numPr>
          <w:ilvl w:val="3"/>
          <w:numId w:val="42"/>
        </w:numPr>
        <w:tabs>
          <w:tab w:val="clear" w:pos="1146"/>
          <w:tab w:val="num" w:pos="720"/>
        </w:tabs>
        <w:spacing w:after="60"/>
        <w:ind w:left="720"/>
        <w:rPr>
          <w:b/>
          <w:sz w:val="20"/>
          <w:szCs w:val="20"/>
          <w:lang w:val="sv-SE"/>
        </w:rPr>
      </w:pPr>
      <w:r w:rsidRPr="00D97EEA">
        <w:rPr>
          <w:b/>
          <w:sz w:val="20"/>
          <w:szCs w:val="20"/>
          <w:lang w:val="sv-SE"/>
        </w:rPr>
        <w:t>Verkställande direktör</w:t>
      </w:r>
    </w:p>
    <w:p w14:paraId="23CC0A1E" w14:textId="77777777" w:rsidR="009D4A74" w:rsidRPr="00D97EEA" w:rsidRDefault="009D4A74" w:rsidP="009D4A74">
      <w:pPr>
        <w:pStyle w:val="wText1"/>
        <w:spacing w:after="60"/>
        <w:ind w:hanging="720"/>
        <w:rPr>
          <w:sz w:val="20"/>
          <w:szCs w:val="20"/>
          <w:lang w:val="sv-SE"/>
        </w:rPr>
      </w:pPr>
      <w:r w:rsidRPr="00D97EEA">
        <w:rPr>
          <w:sz w:val="20"/>
          <w:szCs w:val="20"/>
          <w:lang w:val="sv-SE"/>
        </w:rPr>
        <w:t>Emittenten leds av de verkställande direktörerna Leyla Sharifullina och Timothy Bevan.</w:t>
      </w:r>
    </w:p>
    <w:p w14:paraId="65ACEA54" w14:textId="77777777" w:rsidR="009D4A74" w:rsidRPr="00D97EEA" w:rsidRDefault="009D4A74" w:rsidP="009D4A74">
      <w:pPr>
        <w:pStyle w:val="Heading4"/>
        <w:keepNext/>
        <w:keepLines/>
        <w:numPr>
          <w:ilvl w:val="3"/>
          <w:numId w:val="42"/>
        </w:numPr>
        <w:tabs>
          <w:tab w:val="clear" w:pos="1146"/>
          <w:tab w:val="num" w:pos="720"/>
        </w:tabs>
        <w:spacing w:after="60"/>
        <w:ind w:left="720"/>
        <w:rPr>
          <w:b/>
          <w:sz w:val="20"/>
          <w:szCs w:val="20"/>
          <w:lang w:val="sv-SE"/>
        </w:rPr>
      </w:pPr>
      <w:r w:rsidRPr="00D97EEA">
        <w:rPr>
          <w:b/>
          <w:sz w:val="20"/>
          <w:szCs w:val="20"/>
          <w:lang w:val="sv-SE"/>
        </w:rPr>
        <w:t>Lagstadgad revisor</w:t>
      </w:r>
    </w:p>
    <w:p w14:paraId="4D777E76" w14:textId="56C2068A" w:rsidR="00E5082B" w:rsidRPr="00D97EEA" w:rsidRDefault="00E5082B" w:rsidP="00E5082B">
      <w:pPr>
        <w:pStyle w:val="wText1"/>
        <w:spacing w:after="60"/>
        <w:ind w:left="0"/>
        <w:rPr>
          <w:sz w:val="20"/>
        </w:rPr>
      </w:pPr>
      <w:r w:rsidRPr="00D97EEA">
        <w:rPr>
          <w:i/>
          <w:iCs/>
          <w:sz w:val="20"/>
        </w:rPr>
        <w:t>BFS Revisions- und Treuhand GmbH Wirtschaftsprüfungsgesellschaft,</w:t>
      </w:r>
      <w:r w:rsidRPr="00D97EEA">
        <w:rPr>
          <w:sz w:val="20"/>
        </w:rPr>
        <w:t xml:space="preserve"> med säte på Berliner Straße 75, 63065 Offenbach am Main, Tyskland, hade utsetts till emittentens lagstadgade revisor för räkenskapsåret som avslutades den 31 december 2021. </w:t>
      </w:r>
      <w:r w:rsidRPr="00D97EEA">
        <w:rPr>
          <w:i/>
          <w:iCs/>
          <w:sz w:val="20"/>
        </w:rPr>
        <w:t>BFS Revisions- und Treuhand GmbH Wirtschaftsprüfungsgesellschaft</w:t>
      </w:r>
      <w:r w:rsidRPr="00D97EEA">
        <w:rPr>
          <w:sz w:val="20"/>
        </w:rPr>
        <w:t xml:space="preserve"> är medlem </w:t>
      </w:r>
      <w:proofErr w:type="gramStart"/>
      <w:r w:rsidRPr="00D97EEA">
        <w:rPr>
          <w:sz w:val="20"/>
        </w:rPr>
        <w:t xml:space="preserve">i </w:t>
      </w:r>
      <w:r w:rsidR="00053814" w:rsidRPr="00D97EEA">
        <w:rPr>
          <w:i/>
          <w:iCs/>
          <w:sz w:val="20"/>
        </w:rPr>
        <w:t xml:space="preserve"> </w:t>
      </w:r>
      <w:r w:rsidR="00053814" w:rsidRPr="00D97EEA">
        <w:rPr>
          <w:sz w:val="20"/>
        </w:rPr>
        <w:t>kammaren</w:t>
      </w:r>
      <w:proofErr w:type="gramEnd"/>
      <w:r w:rsidR="00053814" w:rsidRPr="00D97EEA">
        <w:rPr>
          <w:sz w:val="20"/>
        </w:rPr>
        <w:t xml:space="preserve"> med </w:t>
      </w:r>
      <w:proofErr w:type="spellStart"/>
      <w:r w:rsidR="00053814" w:rsidRPr="00D97EEA">
        <w:rPr>
          <w:sz w:val="20"/>
        </w:rPr>
        <w:t>auktoriserade</w:t>
      </w:r>
      <w:proofErr w:type="spellEnd"/>
      <w:r w:rsidR="00053814" w:rsidRPr="00D97EEA">
        <w:rPr>
          <w:sz w:val="20"/>
        </w:rPr>
        <w:t xml:space="preserve"> </w:t>
      </w:r>
      <w:proofErr w:type="spellStart"/>
      <w:r w:rsidR="00053814" w:rsidRPr="00D97EEA">
        <w:rPr>
          <w:sz w:val="20"/>
        </w:rPr>
        <w:t>revisorer</w:t>
      </w:r>
      <w:proofErr w:type="spellEnd"/>
      <w:r w:rsidR="00053814" w:rsidRPr="00D97EEA">
        <w:rPr>
          <w:sz w:val="20"/>
        </w:rPr>
        <w:t xml:space="preserve"> (</w:t>
      </w:r>
      <w:r w:rsidRPr="00D97EEA">
        <w:rPr>
          <w:i/>
          <w:iCs/>
          <w:sz w:val="20"/>
        </w:rPr>
        <w:t>Wirtschaftsprüferkammer</w:t>
      </w:r>
      <w:r w:rsidR="00053814" w:rsidRPr="00D97EEA">
        <w:rPr>
          <w:i/>
          <w:iCs/>
          <w:sz w:val="20"/>
        </w:rPr>
        <w:t>)</w:t>
      </w:r>
      <w:r w:rsidRPr="00D97EEA">
        <w:rPr>
          <w:sz w:val="20"/>
        </w:rPr>
        <w:t xml:space="preserve">i </w:t>
      </w:r>
      <w:proofErr w:type="spellStart"/>
      <w:r w:rsidRPr="00D97EEA">
        <w:rPr>
          <w:sz w:val="20"/>
        </w:rPr>
        <w:t>Tyskland</w:t>
      </w:r>
      <w:proofErr w:type="spellEnd"/>
      <w:r w:rsidRPr="00D97EEA">
        <w:rPr>
          <w:sz w:val="20"/>
        </w:rPr>
        <w:t>.</w:t>
      </w:r>
    </w:p>
    <w:p w14:paraId="06720D56" w14:textId="6C81C81A" w:rsidR="00E5082B" w:rsidRPr="00D97EEA" w:rsidRDefault="00E5082B" w:rsidP="00E5082B">
      <w:pPr>
        <w:pStyle w:val="wText1"/>
        <w:spacing w:after="60"/>
        <w:ind w:left="0"/>
        <w:rPr>
          <w:sz w:val="20"/>
        </w:rPr>
      </w:pPr>
      <w:r w:rsidRPr="00D97EEA">
        <w:rPr>
          <w:sz w:val="20"/>
        </w:rPr>
        <w:t xml:space="preserve">För räkenskapsåret som avslutades den 31 december 2022 är </w:t>
      </w:r>
      <w:r w:rsidRPr="00D97EEA">
        <w:rPr>
          <w:i/>
          <w:iCs/>
          <w:sz w:val="20"/>
        </w:rPr>
        <w:t>Deloitte GmbH Wirtschaftsprüfungsgesellschaft</w:t>
      </w:r>
      <w:r w:rsidRPr="00D97EEA">
        <w:rPr>
          <w:sz w:val="20"/>
        </w:rPr>
        <w:t xml:space="preserve">, med säte på Europa-Allee 91, 60486 Frankfurt am Main, Tyskland, emittentens lagstadgade revisorer. </w:t>
      </w:r>
      <w:r w:rsidRPr="00D97EEA">
        <w:rPr>
          <w:i/>
          <w:iCs/>
          <w:sz w:val="20"/>
        </w:rPr>
        <w:t xml:space="preserve">Deloitte </w:t>
      </w:r>
      <w:r w:rsidRPr="00D97EEA">
        <w:rPr>
          <w:i/>
          <w:iCs/>
          <w:sz w:val="20"/>
        </w:rPr>
        <w:lastRenderedPageBreak/>
        <w:t>GmbH Wirtschaftsprüfungsgesellschaft</w:t>
      </w:r>
      <w:r w:rsidRPr="00D97EEA">
        <w:rPr>
          <w:sz w:val="20"/>
        </w:rPr>
        <w:t xml:space="preserve"> är medlem i </w:t>
      </w:r>
      <w:r w:rsidR="00053814" w:rsidRPr="00D97EEA">
        <w:rPr>
          <w:sz w:val="20"/>
        </w:rPr>
        <w:t>kammaren med auktoriserade revisorer (</w:t>
      </w:r>
      <w:r w:rsidRPr="00D97EEA">
        <w:rPr>
          <w:i/>
          <w:iCs/>
          <w:sz w:val="20"/>
        </w:rPr>
        <w:t>Wirtschaftsprüferkammer</w:t>
      </w:r>
      <w:r w:rsidR="00053814" w:rsidRPr="00D97EEA">
        <w:rPr>
          <w:sz w:val="20"/>
        </w:rPr>
        <w:t>)</w:t>
      </w:r>
      <w:r w:rsidRPr="00D97EEA">
        <w:rPr>
          <w:sz w:val="20"/>
        </w:rPr>
        <w:t xml:space="preserve"> i Tyskland.</w:t>
      </w:r>
    </w:p>
    <w:p w14:paraId="29F02CE3" w14:textId="49E683D5" w:rsidR="009D4A74" w:rsidRPr="00D97EEA" w:rsidRDefault="0079563D" w:rsidP="009D4A74">
      <w:pPr>
        <w:pStyle w:val="Heading3"/>
        <w:numPr>
          <w:ilvl w:val="2"/>
          <w:numId w:val="42"/>
        </w:numPr>
        <w:tabs>
          <w:tab w:val="clear" w:pos="1004"/>
          <w:tab w:val="num" w:pos="720"/>
        </w:tabs>
        <w:spacing w:after="60"/>
        <w:ind w:left="720"/>
        <w:rPr>
          <w:b/>
          <w:bCs/>
          <w:sz w:val="20"/>
          <w:szCs w:val="20"/>
          <w:lang w:val="sv-SE"/>
        </w:rPr>
      </w:pPr>
      <w:r w:rsidRPr="00D97EEA">
        <w:rPr>
          <w:b/>
          <w:bCs/>
          <w:sz w:val="20"/>
          <w:szCs w:val="20"/>
          <w:lang w:val="sv-SE"/>
        </w:rPr>
        <w:t xml:space="preserve">Vilken är den viktigaste finansiella informationen om emittenten? </w:t>
      </w:r>
    </w:p>
    <w:p w14:paraId="210ECFA6" w14:textId="3044A991" w:rsidR="00E5082B" w:rsidRPr="00D97EEA" w:rsidRDefault="00E5082B" w:rsidP="00E5082B">
      <w:pPr>
        <w:pStyle w:val="wText1"/>
        <w:spacing w:after="60"/>
        <w:ind w:left="0"/>
        <w:rPr>
          <w:sz w:val="20"/>
          <w:lang w:val="sv-SE"/>
        </w:rPr>
      </w:pPr>
    </w:p>
    <w:p w14:paraId="29D794DC" w14:textId="164CF2E4" w:rsidR="00E5082B" w:rsidRPr="00D97EEA" w:rsidRDefault="00E5082B" w:rsidP="00E5082B">
      <w:pPr>
        <w:pStyle w:val="wText1"/>
        <w:spacing w:after="60"/>
        <w:ind w:left="0"/>
        <w:rPr>
          <w:sz w:val="20"/>
          <w:lang w:val="sv-SE"/>
        </w:rPr>
      </w:pPr>
      <w:r w:rsidRPr="00D97EEA">
        <w:rPr>
          <w:sz w:val="20"/>
          <w:szCs w:val="20"/>
          <w:lang w:val="sv-SE"/>
        </w:rPr>
        <w:t>Emittentens finansiella information ingår i dess årsredovisningar per den 31 december 2021 och den 31 december 2022 (”</w:t>
      </w:r>
      <w:r w:rsidRPr="00D97EEA">
        <w:rPr>
          <w:b/>
          <w:bCs/>
          <w:sz w:val="20"/>
          <w:szCs w:val="20"/>
          <w:lang w:val="sv-SE"/>
        </w:rPr>
        <w:t>årsredovisningarna</w:t>
      </w:r>
      <w:r w:rsidRPr="00D97EEA">
        <w:rPr>
          <w:sz w:val="20"/>
          <w:szCs w:val="20"/>
          <w:lang w:val="sv-SE"/>
        </w:rPr>
        <w:t>”) samt emittentens delårsrapporter per den 30 juni 2022 och den 30 juni 2023 (”delårsrapporterna” och, tillsammans med årsredovisningarna, ”</w:t>
      </w:r>
      <w:r w:rsidRPr="00D97EEA">
        <w:rPr>
          <w:b/>
          <w:bCs/>
          <w:sz w:val="20"/>
          <w:szCs w:val="20"/>
          <w:lang w:val="sv-SE"/>
        </w:rPr>
        <w:t>redovisningarna</w:t>
      </w:r>
      <w:r w:rsidRPr="00D97EEA">
        <w:rPr>
          <w:sz w:val="20"/>
          <w:szCs w:val="20"/>
          <w:lang w:val="sv-SE"/>
        </w:rPr>
        <w:t>”).</w:t>
      </w:r>
    </w:p>
    <w:p w14:paraId="06C58127" w14:textId="2B5C5BEB" w:rsidR="00E5082B" w:rsidRPr="00D97EEA" w:rsidRDefault="00E5082B" w:rsidP="00E5082B">
      <w:pPr>
        <w:pStyle w:val="wText1"/>
        <w:spacing w:after="60"/>
        <w:ind w:left="0"/>
        <w:rPr>
          <w:sz w:val="20"/>
          <w:szCs w:val="20"/>
          <w:lang w:val="da-DK"/>
        </w:rPr>
      </w:pPr>
      <w:r w:rsidRPr="00D97EEA">
        <w:rPr>
          <w:sz w:val="20"/>
          <w:szCs w:val="20"/>
          <w:lang w:val="da-DK"/>
        </w:rPr>
        <w:t>Redovisningarna har upprättats enligt International Financial Reporting Standards (”</w:t>
      </w:r>
      <w:r w:rsidRPr="00D97EEA">
        <w:rPr>
          <w:b/>
          <w:bCs/>
          <w:sz w:val="20"/>
          <w:szCs w:val="20"/>
          <w:lang w:val="da-DK"/>
        </w:rPr>
        <w:t>IFRS</w:t>
      </w:r>
      <w:r w:rsidRPr="00D97EEA">
        <w:rPr>
          <w:sz w:val="20"/>
          <w:szCs w:val="20"/>
          <w:lang w:val="da-DK"/>
        </w:rPr>
        <w:t xml:space="preserve">”) som har antagits i </w:t>
      </w:r>
      <w:r w:rsidR="00C632CB" w:rsidRPr="00D97EEA">
        <w:rPr>
          <w:sz w:val="20"/>
          <w:szCs w:val="20"/>
          <w:lang w:val="da-DK"/>
        </w:rPr>
        <w:t>Europeiska unionen (”EU”)</w:t>
      </w:r>
      <w:r w:rsidRPr="00D97EEA">
        <w:rPr>
          <w:sz w:val="20"/>
          <w:szCs w:val="20"/>
          <w:lang w:val="da-DK"/>
        </w:rPr>
        <w:t>.</w:t>
      </w:r>
    </w:p>
    <w:p w14:paraId="3AE1B2F4" w14:textId="77777777" w:rsidR="009D4A74" w:rsidRPr="00D97EEA" w:rsidRDefault="009D4A74" w:rsidP="00E5082B">
      <w:pPr>
        <w:pStyle w:val="wText1"/>
        <w:spacing w:after="60"/>
        <w:ind w:left="0"/>
        <w:rPr>
          <w:sz w:val="20"/>
          <w:szCs w:val="20"/>
          <w:lang w:val="sv-SE"/>
        </w:rPr>
      </w:pPr>
      <w:r w:rsidRPr="00D97EEA">
        <w:rPr>
          <w:sz w:val="20"/>
          <w:lang w:val="sv-SE"/>
        </w:rPr>
        <w:t>Årsredovisningarna har reviderats och en okvalificerad revisionsberättelse har utfärdats. Delårsrapporten har varken reviderats eller granskats av emittentens revisorer.</w:t>
      </w:r>
    </w:p>
    <w:p w14:paraId="7F9B039E" w14:textId="77777777" w:rsidR="009D4A74" w:rsidRPr="00D97EEA" w:rsidRDefault="009D4A74" w:rsidP="00E5082B">
      <w:pPr>
        <w:pStyle w:val="wText1"/>
        <w:spacing w:after="60"/>
        <w:ind w:left="0"/>
        <w:rPr>
          <w:sz w:val="20"/>
          <w:szCs w:val="20"/>
          <w:lang w:val="sv-SE"/>
        </w:rPr>
      </w:pPr>
      <w:r w:rsidRPr="00D97EEA">
        <w:rPr>
          <w:sz w:val="20"/>
          <w:szCs w:val="20"/>
          <w:lang w:val="sv-SE"/>
        </w:rPr>
        <w:t>Följande utvalda finansiella uppgifter grundar sig på och är tagna ur de finansiella rapporterna.</w:t>
      </w:r>
    </w:p>
    <w:tbl>
      <w:tblPr>
        <w:tblStyle w:val="TableGrid1"/>
        <w:tblW w:w="8523" w:type="dxa"/>
        <w:tblInd w:w="720" w:type="dxa"/>
        <w:tblLook w:val="04A0" w:firstRow="1" w:lastRow="0" w:firstColumn="1" w:lastColumn="0" w:noHBand="0" w:noVBand="1"/>
      </w:tblPr>
      <w:tblGrid>
        <w:gridCol w:w="2614"/>
        <w:gridCol w:w="1629"/>
        <w:gridCol w:w="1283"/>
        <w:gridCol w:w="1619"/>
        <w:gridCol w:w="1378"/>
      </w:tblGrid>
      <w:tr w:rsidR="009D4A74" w:rsidRPr="00D97EEA" w14:paraId="72F21121" w14:textId="77777777" w:rsidTr="0001212C">
        <w:tc>
          <w:tcPr>
            <w:tcW w:w="2641" w:type="dxa"/>
            <w:tcBorders>
              <w:top w:val="nil"/>
              <w:left w:val="nil"/>
            </w:tcBorders>
          </w:tcPr>
          <w:p w14:paraId="78E6CCEA" w14:textId="77777777" w:rsidR="009D4A74" w:rsidRPr="00D97EEA" w:rsidRDefault="009D4A74" w:rsidP="0001212C">
            <w:pPr>
              <w:spacing w:after="180"/>
              <w:jc w:val="both"/>
              <w:rPr>
                <w:b/>
                <w:i/>
                <w:sz w:val="20"/>
                <w:szCs w:val="20"/>
                <w:lang w:val="sv-SE"/>
              </w:rPr>
            </w:pPr>
            <w:r w:rsidRPr="00D97EEA">
              <w:rPr>
                <w:b/>
                <w:i/>
                <w:sz w:val="20"/>
                <w:szCs w:val="20"/>
                <w:lang w:val="sv-SE"/>
              </w:rPr>
              <w:t>Resultaträkning</w:t>
            </w:r>
            <w:r w:rsidRPr="00D97EEA">
              <w:rPr>
                <w:b/>
                <w:i/>
                <w:sz w:val="20"/>
                <w:szCs w:val="20"/>
                <w:lang w:val="sv-SE"/>
              </w:rPr>
              <w:br/>
              <w:t>(i EUR)</w:t>
            </w:r>
          </w:p>
        </w:tc>
        <w:tc>
          <w:tcPr>
            <w:tcW w:w="1638" w:type="dxa"/>
            <w:shd w:val="clear" w:color="auto" w:fill="D9D9D9" w:themeFill="background1" w:themeFillShade="D9"/>
          </w:tcPr>
          <w:p w14:paraId="49502B69" w14:textId="5529E762" w:rsidR="009D4A74" w:rsidRPr="00D97EEA" w:rsidRDefault="00F00844" w:rsidP="0001212C">
            <w:pPr>
              <w:spacing w:after="180"/>
              <w:jc w:val="right"/>
              <w:rPr>
                <w:b/>
                <w:sz w:val="20"/>
                <w:szCs w:val="20"/>
                <w:lang w:val="sv-SE"/>
              </w:rPr>
            </w:pPr>
            <w:r w:rsidRPr="00D97EEA">
              <w:rPr>
                <w:b/>
                <w:sz w:val="20"/>
                <w:szCs w:val="20"/>
                <w:lang w:val="sv-SE"/>
              </w:rPr>
              <w:t>Sex månader avslutade</w:t>
            </w:r>
            <w:r w:rsidRPr="00D97EEA">
              <w:rPr>
                <w:b/>
                <w:sz w:val="20"/>
                <w:szCs w:val="20"/>
                <w:lang w:val="sv-SE"/>
              </w:rPr>
              <w:br/>
            </w:r>
            <w:r w:rsidR="009D4A74" w:rsidRPr="00D97EEA">
              <w:rPr>
                <w:b/>
                <w:sz w:val="20"/>
                <w:szCs w:val="20"/>
                <w:lang w:val="sv-SE"/>
              </w:rPr>
              <w:t xml:space="preserve">30 juni </w:t>
            </w:r>
            <w:r w:rsidRPr="00D97EEA">
              <w:rPr>
                <w:b/>
                <w:sz w:val="20"/>
                <w:szCs w:val="20"/>
                <w:lang w:val="sv-SE"/>
              </w:rPr>
              <w:t>2023 (oreviderad)</w:t>
            </w:r>
          </w:p>
        </w:tc>
        <w:tc>
          <w:tcPr>
            <w:tcW w:w="1215" w:type="dxa"/>
            <w:shd w:val="clear" w:color="auto" w:fill="D9D9D9" w:themeFill="background1" w:themeFillShade="D9"/>
          </w:tcPr>
          <w:p w14:paraId="239E4578" w14:textId="439E6DEC" w:rsidR="009D4A74" w:rsidRPr="00D97EEA" w:rsidRDefault="00F00844" w:rsidP="00F00844">
            <w:pPr>
              <w:spacing w:after="180"/>
              <w:jc w:val="right"/>
              <w:rPr>
                <w:b/>
                <w:sz w:val="20"/>
                <w:szCs w:val="20"/>
                <w:lang w:val="sv-SE"/>
              </w:rPr>
            </w:pPr>
            <w:r w:rsidRPr="00D97EEA">
              <w:rPr>
                <w:b/>
                <w:sz w:val="20"/>
                <w:szCs w:val="20"/>
                <w:lang w:val="sv-SE"/>
              </w:rPr>
              <w:t xml:space="preserve">Sex månader avslutade </w:t>
            </w:r>
            <w:r w:rsidRPr="00D97EEA">
              <w:rPr>
                <w:b/>
                <w:sz w:val="20"/>
                <w:szCs w:val="20"/>
                <w:lang w:val="sv-SE"/>
              </w:rPr>
              <w:br/>
            </w:r>
            <w:r w:rsidR="009D4A74" w:rsidRPr="00D97EEA">
              <w:rPr>
                <w:b/>
                <w:sz w:val="20"/>
                <w:szCs w:val="20"/>
                <w:lang w:val="sv-SE"/>
              </w:rPr>
              <w:t xml:space="preserve">30 juni </w:t>
            </w:r>
            <w:r w:rsidRPr="00D97EEA">
              <w:rPr>
                <w:b/>
                <w:sz w:val="20"/>
                <w:szCs w:val="20"/>
                <w:lang w:val="sv-SE"/>
              </w:rPr>
              <w:t>2022 (oreviderad)</w:t>
            </w:r>
          </w:p>
        </w:tc>
        <w:tc>
          <w:tcPr>
            <w:tcW w:w="1638" w:type="dxa"/>
            <w:shd w:val="clear" w:color="auto" w:fill="D9D9D9" w:themeFill="background1" w:themeFillShade="D9"/>
          </w:tcPr>
          <w:p w14:paraId="09DBDCC5" w14:textId="2FEBCFFA" w:rsidR="009D4A74" w:rsidRPr="00D97EEA" w:rsidRDefault="00F00844" w:rsidP="0001212C">
            <w:pPr>
              <w:spacing w:after="180"/>
              <w:jc w:val="right"/>
              <w:rPr>
                <w:b/>
                <w:sz w:val="20"/>
                <w:szCs w:val="20"/>
                <w:lang w:val="sv-SE"/>
              </w:rPr>
            </w:pPr>
            <w:r w:rsidRPr="00D97EEA">
              <w:rPr>
                <w:b/>
                <w:sz w:val="20"/>
                <w:szCs w:val="20"/>
                <w:lang w:val="sv-SE"/>
              </w:rPr>
              <w:t>2022</w:t>
            </w:r>
          </w:p>
        </w:tc>
        <w:tc>
          <w:tcPr>
            <w:tcW w:w="1391" w:type="dxa"/>
            <w:shd w:val="clear" w:color="auto" w:fill="D9D9D9" w:themeFill="background1" w:themeFillShade="D9"/>
          </w:tcPr>
          <w:p w14:paraId="52B132AE" w14:textId="04966A1D" w:rsidR="009D4A74" w:rsidRPr="00D97EEA" w:rsidRDefault="00F00844" w:rsidP="0001212C">
            <w:pPr>
              <w:spacing w:after="180"/>
              <w:jc w:val="right"/>
              <w:rPr>
                <w:b/>
                <w:sz w:val="20"/>
                <w:szCs w:val="20"/>
                <w:lang w:val="sv-SE"/>
              </w:rPr>
            </w:pPr>
            <w:r w:rsidRPr="00D97EEA">
              <w:rPr>
                <w:b/>
                <w:sz w:val="20"/>
                <w:szCs w:val="20"/>
                <w:lang w:val="sv-SE"/>
              </w:rPr>
              <w:t>2021</w:t>
            </w:r>
          </w:p>
        </w:tc>
      </w:tr>
      <w:tr w:rsidR="00E5082B" w:rsidRPr="00D97EEA" w14:paraId="792C63AE" w14:textId="77777777" w:rsidTr="0001212C">
        <w:tc>
          <w:tcPr>
            <w:tcW w:w="2641" w:type="dxa"/>
          </w:tcPr>
          <w:p w14:paraId="4B88099C" w14:textId="77777777" w:rsidR="00E5082B" w:rsidRPr="00D97EEA" w:rsidRDefault="00E5082B" w:rsidP="00E5082B">
            <w:pPr>
              <w:spacing w:after="180"/>
              <w:jc w:val="both"/>
              <w:rPr>
                <w:sz w:val="20"/>
                <w:szCs w:val="20"/>
                <w:lang w:val="sv-SE"/>
              </w:rPr>
            </w:pPr>
            <w:r w:rsidRPr="00D97EEA">
              <w:rPr>
                <w:sz w:val="20"/>
                <w:szCs w:val="20"/>
                <w:lang w:val="sv-SE"/>
              </w:rPr>
              <w:t>Rörelseresultat</w:t>
            </w:r>
          </w:p>
        </w:tc>
        <w:tc>
          <w:tcPr>
            <w:tcW w:w="1638" w:type="dxa"/>
          </w:tcPr>
          <w:p w14:paraId="3CE591CB" w14:textId="1971882B" w:rsidR="00E5082B" w:rsidRPr="00D97EEA" w:rsidRDefault="00E5082B" w:rsidP="00E5082B">
            <w:pPr>
              <w:spacing w:after="180"/>
              <w:jc w:val="right"/>
              <w:rPr>
                <w:sz w:val="20"/>
                <w:szCs w:val="20"/>
                <w:lang w:val="sv-SE"/>
              </w:rPr>
            </w:pPr>
            <w:r w:rsidRPr="00D97EEA">
              <w:rPr>
                <w:rFonts w:eastAsia="Calibri"/>
                <w:sz w:val="20"/>
                <w:szCs w:val="20"/>
                <w:lang w:val="en-GB"/>
              </w:rPr>
              <w:t>207,540</w:t>
            </w:r>
          </w:p>
        </w:tc>
        <w:tc>
          <w:tcPr>
            <w:tcW w:w="1215" w:type="dxa"/>
          </w:tcPr>
          <w:p w14:paraId="4E16F6B5" w14:textId="3381A4DA" w:rsidR="00E5082B" w:rsidRPr="00D97EEA" w:rsidRDefault="00E5082B" w:rsidP="00E5082B">
            <w:pPr>
              <w:spacing w:after="180"/>
              <w:jc w:val="right"/>
              <w:rPr>
                <w:sz w:val="20"/>
                <w:szCs w:val="20"/>
                <w:lang w:val="sv-SE"/>
              </w:rPr>
            </w:pPr>
            <w:r w:rsidRPr="00D97EEA">
              <w:rPr>
                <w:rFonts w:eastAsia="Calibri"/>
                <w:sz w:val="20"/>
                <w:szCs w:val="20"/>
                <w:lang w:val="en-GB"/>
              </w:rPr>
              <w:t>280,349</w:t>
            </w:r>
          </w:p>
        </w:tc>
        <w:tc>
          <w:tcPr>
            <w:tcW w:w="1638" w:type="dxa"/>
          </w:tcPr>
          <w:p w14:paraId="62034F0D" w14:textId="0F9E00C3" w:rsidR="00E5082B" w:rsidRPr="00D97EEA" w:rsidRDefault="00E5082B" w:rsidP="00E5082B">
            <w:pPr>
              <w:spacing w:after="180"/>
              <w:jc w:val="right"/>
              <w:rPr>
                <w:sz w:val="20"/>
                <w:szCs w:val="20"/>
                <w:lang w:val="sv-SE"/>
              </w:rPr>
            </w:pPr>
            <w:r w:rsidRPr="00D97EEA">
              <w:rPr>
                <w:rFonts w:eastAsia="Calibri"/>
                <w:sz w:val="20"/>
                <w:szCs w:val="20"/>
                <w:lang w:val="en-GB"/>
              </w:rPr>
              <w:t>142,298</w:t>
            </w:r>
          </w:p>
        </w:tc>
        <w:tc>
          <w:tcPr>
            <w:tcW w:w="1391" w:type="dxa"/>
          </w:tcPr>
          <w:p w14:paraId="33FC82A3" w14:textId="3B8FE9D8" w:rsidR="00E5082B" w:rsidRPr="00D97EEA" w:rsidRDefault="00E5082B" w:rsidP="00E5082B">
            <w:pPr>
              <w:spacing w:after="180"/>
              <w:jc w:val="right"/>
              <w:rPr>
                <w:sz w:val="20"/>
                <w:szCs w:val="20"/>
                <w:lang w:val="sv-SE"/>
              </w:rPr>
            </w:pPr>
            <w:r w:rsidRPr="00D97EEA">
              <w:rPr>
                <w:rFonts w:eastAsia="Calibri"/>
                <w:sz w:val="20"/>
                <w:szCs w:val="20"/>
                <w:lang w:val="en-GB"/>
              </w:rPr>
              <w:t>109,751</w:t>
            </w:r>
          </w:p>
        </w:tc>
      </w:tr>
    </w:tbl>
    <w:p w14:paraId="36F8FA74" w14:textId="77777777" w:rsidR="009D4A74" w:rsidRPr="00D97EEA" w:rsidRDefault="009D4A74" w:rsidP="009D4A74">
      <w:pPr>
        <w:pStyle w:val="wText1"/>
        <w:spacing w:after="0"/>
        <w:rPr>
          <w:sz w:val="20"/>
          <w:szCs w:val="20"/>
        </w:rPr>
      </w:pPr>
    </w:p>
    <w:tbl>
      <w:tblPr>
        <w:tblStyle w:val="TableGrid1"/>
        <w:tblW w:w="8523" w:type="dxa"/>
        <w:tblInd w:w="720" w:type="dxa"/>
        <w:tblLook w:val="04A0" w:firstRow="1" w:lastRow="0" w:firstColumn="1" w:lastColumn="0" w:noHBand="0" w:noVBand="1"/>
      </w:tblPr>
      <w:tblGrid>
        <w:gridCol w:w="2517"/>
        <w:gridCol w:w="1729"/>
        <w:gridCol w:w="1283"/>
        <w:gridCol w:w="1614"/>
        <w:gridCol w:w="1380"/>
      </w:tblGrid>
      <w:tr w:rsidR="009D4A74" w:rsidRPr="00D97EEA" w14:paraId="5A7C3B66" w14:textId="77777777" w:rsidTr="00E5082B">
        <w:tc>
          <w:tcPr>
            <w:tcW w:w="2554" w:type="dxa"/>
            <w:tcBorders>
              <w:top w:val="nil"/>
              <w:left w:val="nil"/>
            </w:tcBorders>
          </w:tcPr>
          <w:p w14:paraId="08AD11E1" w14:textId="77777777" w:rsidR="009D4A74" w:rsidRPr="00D97EEA" w:rsidRDefault="009D4A74" w:rsidP="0001212C">
            <w:pPr>
              <w:spacing w:after="180"/>
              <w:jc w:val="both"/>
              <w:rPr>
                <w:b/>
                <w:i/>
                <w:sz w:val="20"/>
                <w:szCs w:val="20"/>
                <w:lang w:val="sv-SE"/>
              </w:rPr>
            </w:pPr>
            <w:r w:rsidRPr="00D97EEA">
              <w:rPr>
                <w:b/>
                <w:i/>
                <w:sz w:val="20"/>
                <w:szCs w:val="20"/>
                <w:lang w:val="sv-SE"/>
              </w:rPr>
              <w:t>Balansräkning</w:t>
            </w:r>
            <w:r w:rsidRPr="00D97EEA">
              <w:rPr>
                <w:b/>
                <w:i/>
                <w:sz w:val="20"/>
                <w:szCs w:val="20"/>
                <w:lang w:val="sv-SE"/>
              </w:rPr>
              <w:br/>
              <w:t>(i EUR)</w:t>
            </w:r>
          </w:p>
        </w:tc>
        <w:tc>
          <w:tcPr>
            <w:tcW w:w="1745" w:type="dxa"/>
            <w:shd w:val="clear" w:color="auto" w:fill="D9D9D9" w:themeFill="background1" w:themeFillShade="D9"/>
          </w:tcPr>
          <w:p w14:paraId="7293A121" w14:textId="1B0AD55E" w:rsidR="009D4A74" w:rsidRPr="00D97EEA" w:rsidRDefault="009D4A74" w:rsidP="0001212C">
            <w:pPr>
              <w:spacing w:after="180"/>
              <w:jc w:val="right"/>
              <w:rPr>
                <w:b/>
                <w:sz w:val="20"/>
                <w:szCs w:val="20"/>
                <w:lang w:val="sv-SE"/>
              </w:rPr>
            </w:pPr>
            <w:r w:rsidRPr="00D97EEA">
              <w:rPr>
                <w:b/>
                <w:sz w:val="20"/>
                <w:szCs w:val="20"/>
                <w:lang w:val="sv-SE"/>
              </w:rPr>
              <w:t xml:space="preserve">30 juni </w:t>
            </w:r>
            <w:r w:rsidR="00F00844" w:rsidRPr="00D97EEA">
              <w:rPr>
                <w:b/>
                <w:sz w:val="20"/>
                <w:szCs w:val="20"/>
                <w:lang w:val="sv-SE"/>
              </w:rPr>
              <w:t>2023</w:t>
            </w:r>
            <w:r w:rsidR="00F00844" w:rsidRPr="00D97EEA">
              <w:rPr>
                <w:b/>
                <w:sz w:val="20"/>
                <w:szCs w:val="20"/>
                <w:lang w:val="sv-SE"/>
              </w:rPr>
              <w:br/>
              <w:t>(oreviderad)</w:t>
            </w:r>
          </w:p>
        </w:tc>
        <w:tc>
          <w:tcPr>
            <w:tcW w:w="1216" w:type="dxa"/>
            <w:shd w:val="clear" w:color="auto" w:fill="D9D9D9" w:themeFill="background1" w:themeFillShade="D9"/>
          </w:tcPr>
          <w:p w14:paraId="24995844" w14:textId="09A83F15" w:rsidR="009D4A74" w:rsidRPr="00D97EEA" w:rsidRDefault="009D4A74" w:rsidP="0001212C">
            <w:pPr>
              <w:spacing w:after="180"/>
              <w:jc w:val="right"/>
              <w:rPr>
                <w:b/>
                <w:sz w:val="20"/>
                <w:szCs w:val="20"/>
                <w:lang w:val="sv-SE"/>
              </w:rPr>
            </w:pPr>
            <w:r w:rsidRPr="00D97EEA">
              <w:rPr>
                <w:b/>
                <w:sz w:val="20"/>
                <w:szCs w:val="20"/>
                <w:lang w:val="sv-SE"/>
              </w:rPr>
              <w:t xml:space="preserve">30 juni </w:t>
            </w:r>
            <w:r w:rsidR="00F00844" w:rsidRPr="00D97EEA">
              <w:rPr>
                <w:b/>
                <w:sz w:val="20"/>
                <w:szCs w:val="20"/>
                <w:lang w:val="sv-SE"/>
              </w:rPr>
              <w:t>2022</w:t>
            </w:r>
            <w:r w:rsidR="00F00844" w:rsidRPr="00D97EEA">
              <w:rPr>
                <w:b/>
                <w:sz w:val="20"/>
                <w:szCs w:val="20"/>
                <w:lang w:val="sv-SE"/>
              </w:rPr>
              <w:br/>
              <w:t>(oreviderad)</w:t>
            </w:r>
          </w:p>
        </w:tc>
        <w:tc>
          <w:tcPr>
            <w:tcW w:w="1628" w:type="dxa"/>
            <w:shd w:val="clear" w:color="auto" w:fill="D9D9D9" w:themeFill="background1" w:themeFillShade="D9"/>
          </w:tcPr>
          <w:p w14:paraId="29DBE41F" w14:textId="1688CA7E" w:rsidR="009D4A74" w:rsidRPr="00D97EEA" w:rsidRDefault="009D4A74" w:rsidP="0001212C">
            <w:pPr>
              <w:spacing w:after="180"/>
              <w:jc w:val="right"/>
              <w:rPr>
                <w:b/>
                <w:sz w:val="20"/>
                <w:szCs w:val="20"/>
                <w:lang w:val="sv-SE"/>
              </w:rPr>
            </w:pPr>
            <w:r w:rsidRPr="00D97EEA">
              <w:rPr>
                <w:b/>
                <w:sz w:val="20"/>
                <w:szCs w:val="20"/>
                <w:lang w:val="sv-SE"/>
              </w:rPr>
              <w:t xml:space="preserve">31 december </w:t>
            </w:r>
            <w:r w:rsidR="00F00844" w:rsidRPr="00D97EEA">
              <w:rPr>
                <w:b/>
                <w:sz w:val="20"/>
                <w:szCs w:val="20"/>
                <w:lang w:val="sv-SE"/>
              </w:rPr>
              <w:t>2022</w:t>
            </w:r>
          </w:p>
        </w:tc>
        <w:tc>
          <w:tcPr>
            <w:tcW w:w="1380" w:type="dxa"/>
            <w:shd w:val="clear" w:color="auto" w:fill="D9D9D9" w:themeFill="background1" w:themeFillShade="D9"/>
          </w:tcPr>
          <w:p w14:paraId="73CB54AC" w14:textId="18CD10A7" w:rsidR="009D4A74" w:rsidRPr="00D97EEA" w:rsidRDefault="009D4A74" w:rsidP="0001212C">
            <w:pPr>
              <w:spacing w:after="180"/>
              <w:jc w:val="right"/>
              <w:rPr>
                <w:b/>
                <w:sz w:val="20"/>
                <w:szCs w:val="20"/>
                <w:lang w:val="sv-SE"/>
              </w:rPr>
            </w:pPr>
            <w:r w:rsidRPr="00D97EEA">
              <w:rPr>
                <w:b/>
                <w:sz w:val="20"/>
                <w:szCs w:val="20"/>
                <w:lang w:val="sv-SE"/>
              </w:rPr>
              <w:t xml:space="preserve">31 december </w:t>
            </w:r>
            <w:r w:rsidR="00F00844" w:rsidRPr="00D97EEA">
              <w:rPr>
                <w:b/>
                <w:sz w:val="20"/>
                <w:szCs w:val="20"/>
                <w:lang w:val="sv-SE"/>
              </w:rPr>
              <w:t>2021</w:t>
            </w:r>
          </w:p>
        </w:tc>
      </w:tr>
      <w:tr w:rsidR="00E5082B" w:rsidRPr="00D97EEA" w14:paraId="34D18147" w14:textId="77777777" w:rsidTr="00E5082B">
        <w:tc>
          <w:tcPr>
            <w:tcW w:w="2554" w:type="dxa"/>
          </w:tcPr>
          <w:p w14:paraId="6AFFAE10" w14:textId="77777777" w:rsidR="00E5082B" w:rsidRPr="00D97EEA" w:rsidRDefault="00E5082B" w:rsidP="00E5082B">
            <w:pPr>
              <w:spacing w:after="180"/>
              <w:jc w:val="both"/>
              <w:rPr>
                <w:sz w:val="20"/>
                <w:szCs w:val="20"/>
                <w:lang w:val="sv-SE"/>
              </w:rPr>
            </w:pPr>
            <w:r w:rsidRPr="00D97EEA">
              <w:rPr>
                <w:sz w:val="20"/>
                <w:szCs w:val="20"/>
                <w:lang w:val="sv-SE"/>
              </w:rPr>
              <w:t xml:space="preserve">Finansiell nettoskuld </w:t>
            </w:r>
          </w:p>
        </w:tc>
        <w:tc>
          <w:tcPr>
            <w:tcW w:w="1745" w:type="dxa"/>
          </w:tcPr>
          <w:p w14:paraId="6DC59F3C" w14:textId="0E049815" w:rsidR="00E5082B" w:rsidRPr="00D97EEA" w:rsidRDefault="00E5082B" w:rsidP="00E5082B">
            <w:pPr>
              <w:spacing w:after="180"/>
              <w:jc w:val="right"/>
              <w:rPr>
                <w:sz w:val="20"/>
                <w:szCs w:val="20"/>
                <w:lang w:val="sv-SE"/>
              </w:rPr>
            </w:pPr>
            <w:r w:rsidRPr="00D97EEA">
              <w:rPr>
                <w:rFonts w:eastAsia="Calibri"/>
                <w:sz w:val="20"/>
                <w:szCs w:val="20"/>
                <w:lang w:val="en-GB"/>
              </w:rPr>
              <w:t>671,474,280</w:t>
            </w:r>
          </w:p>
        </w:tc>
        <w:tc>
          <w:tcPr>
            <w:tcW w:w="1216" w:type="dxa"/>
          </w:tcPr>
          <w:p w14:paraId="517AB1B7" w14:textId="614B270F" w:rsidR="00E5082B" w:rsidRPr="00D97EEA" w:rsidRDefault="00E5082B" w:rsidP="00E5082B">
            <w:pPr>
              <w:spacing w:after="180"/>
              <w:jc w:val="right"/>
              <w:rPr>
                <w:sz w:val="20"/>
                <w:szCs w:val="20"/>
                <w:lang w:val="sv-SE"/>
              </w:rPr>
            </w:pPr>
            <w:r w:rsidRPr="00D97EEA">
              <w:rPr>
                <w:rFonts w:eastAsia="Calibri"/>
                <w:sz w:val="20"/>
                <w:szCs w:val="20"/>
                <w:lang w:val="en-GB"/>
              </w:rPr>
              <w:t>368,787,100</w:t>
            </w:r>
          </w:p>
        </w:tc>
        <w:tc>
          <w:tcPr>
            <w:tcW w:w="1628" w:type="dxa"/>
          </w:tcPr>
          <w:p w14:paraId="6B008920" w14:textId="1B264497" w:rsidR="00E5082B" w:rsidRPr="00D97EEA" w:rsidRDefault="00E5082B" w:rsidP="00E5082B">
            <w:pPr>
              <w:spacing w:after="180"/>
              <w:jc w:val="right"/>
              <w:rPr>
                <w:sz w:val="20"/>
                <w:szCs w:val="20"/>
                <w:lang w:val="sv-SE"/>
              </w:rPr>
            </w:pPr>
            <w:r w:rsidRPr="00D97EEA">
              <w:rPr>
                <w:rFonts w:eastAsia="Calibri"/>
                <w:sz w:val="20"/>
                <w:szCs w:val="20"/>
                <w:lang w:val="en-GB"/>
              </w:rPr>
              <w:t>297,516,002</w:t>
            </w:r>
          </w:p>
        </w:tc>
        <w:tc>
          <w:tcPr>
            <w:tcW w:w="1380" w:type="dxa"/>
          </w:tcPr>
          <w:p w14:paraId="0E99940D" w14:textId="26221C0A" w:rsidR="00E5082B" w:rsidRPr="00D97EEA" w:rsidRDefault="00E5082B" w:rsidP="00E5082B">
            <w:pPr>
              <w:spacing w:after="180"/>
              <w:jc w:val="right"/>
              <w:rPr>
                <w:sz w:val="20"/>
                <w:szCs w:val="20"/>
                <w:lang w:val="sv-SE"/>
              </w:rPr>
            </w:pPr>
            <w:r w:rsidRPr="00D97EEA">
              <w:rPr>
                <w:rFonts w:eastAsia="Calibri"/>
                <w:sz w:val="20"/>
                <w:szCs w:val="20"/>
                <w:lang w:val="en-GB"/>
              </w:rPr>
              <w:t>1,010,038,300</w:t>
            </w:r>
          </w:p>
        </w:tc>
      </w:tr>
    </w:tbl>
    <w:p w14:paraId="6459505D" w14:textId="77777777" w:rsidR="009D4A74" w:rsidRPr="00D97EEA" w:rsidRDefault="009D4A74" w:rsidP="009D4A74">
      <w:pPr>
        <w:pStyle w:val="wText1"/>
        <w:spacing w:after="0"/>
        <w:rPr>
          <w:sz w:val="20"/>
          <w:szCs w:val="20"/>
        </w:rPr>
      </w:pPr>
    </w:p>
    <w:tbl>
      <w:tblPr>
        <w:tblStyle w:val="TableGrid1"/>
        <w:tblW w:w="8523" w:type="dxa"/>
        <w:tblInd w:w="720" w:type="dxa"/>
        <w:tblLook w:val="04A0" w:firstRow="1" w:lastRow="0" w:firstColumn="1" w:lastColumn="0" w:noHBand="0" w:noVBand="1"/>
      </w:tblPr>
      <w:tblGrid>
        <w:gridCol w:w="2719"/>
        <w:gridCol w:w="1709"/>
        <w:gridCol w:w="1350"/>
        <w:gridCol w:w="1408"/>
        <w:gridCol w:w="1337"/>
      </w:tblGrid>
      <w:tr w:rsidR="009D4A74" w:rsidRPr="00D97EEA" w14:paraId="623FACE7" w14:textId="77777777" w:rsidTr="00F00844">
        <w:tc>
          <w:tcPr>
            <w:tcW w:w="2719" w:type="dxa"/>
            <w:tcBorders>
              <w:top w:val="nil"/>
              <w:left w:val="nil"/>
            </w:tcBorders>
          </w:tcPr>
          <w:p w14:paraId="516CFC3E" w14:textId="77777777" w:rsidR="009D4A74" w:rsidRPr="00D97EEA" w:rsidRDefault="009D4A74" w:rsidP="0001212C">
            <w:pPr>
              <w:spacing w:after="180"/>
              <w:jc w:val="both"/>
              <w:rPr>
                <w:b/>
                <w:i/>
                <w:sz w:val="20"/>
                <w:szCs w:val="20"/>
                <w:lang w:val="sv-SE"/>
              </w:rPr>
            </w:pPr>
            <w:r w:rsidRPr="00D97EEA">
              <w:rPr>
                <w:b/>
                <w:i/>
                <w:sz w:val="20"/>
                <w:szCs w:val="20"/>
                <w:lang w:val="sv-SE"/>
              </w:rPr>
              <w:t>Kassaflödesanalys</w:t>
            </w:r>
            <w:r w:rsidRPr="00D97EEA">
              <w:rPr>
                <w:b/>
                <w:i/>
                <w:sz w:val="20"/>
                <w:szCs w:val="20"/>
                <w:lang w:val="sv-SE"/>
              </w:rPr>
              <w:br/>
              <w:t>(i EUR)</w:t>
            </w:r>
          </w:p>
        </w:tc>
        <w:tc>
          <w:tcPr>
            <w:tcW w:w="1709" w:type="dxa"/>
            <w:shd w:val="clear" w:color="auto" w:fill="D9D9D9" w:themeFill="background1" w:themeFillShade="D9"/>
          </w:tcPr>
          <w:p w14:paraId="5D15A50C" w14:textId="059A748B" w:rsidR="009D4A74" w:rsidRPr="00D97EEA" w:rsidRDefault="00F00844" w:rsidP="0001212C">
            <w:pPr>
              <w:spacing w:after="180"/>
              <w:jc w:val="right"/>
              <w:rPr>
                <w:b/>
                <w:sz w:val="20"/>
                <w:szCs w:val="20"/>
                <w:lang w:val="sv-SE"/>
              </w:rPr>
            </w:pPr>
            <w:r w:rsidRPr="00D97EEA">
              <w:rPr>
                <w:b/>
                <w:sz w:val="20"/>
                <w:szCs w:val="20"/>
                <w:lang w:val="sv-SE"/>
              </w:rPr>
              <w:t xml:space="preserve">Sex månader avslutade </w:t>
            </w:r>
            <w:r w:rsidRPr="00D97EEA">
              <w:rPr>
                <w:b/>
                <w:sz w:val="20"/>
                <w:szCs w:val="20"/>
                <w:lang w:val="sv-SE"/>
              </w:rPr>
              <w:br/>
            </w:r>
            <w:r w:rsidR="009D4A74" w:rsidRPr="00D97EEA">
              <w:rPr>
                <w:b/>
                <w:sz w:val="20"/>
                <w:szCs w:val="20"/>
                <w:lang w:val="sv-SE"/>
              </w:rPr>
              <w:t xml:space="preserve">30 juni </w:t>
            </w:r>
            <w:r w:rsidRPr="00D97EEA">
              <w:rPr>
                <w:b/>
                <w:sz w:val="20"/>
                <w:szCs w:val="20"/>
                <w:lang w:val="sv-SE"/>
              </w:rPr>
              <w:t>2023</w:t>
            </w:r>
            <w:r w:rsidRPr="00D97EEA">
              <w:rPr>
                <w:b/>
                <w:sz w:val="20"/>
                <w:szCs w:val="20"/>
                <w:lang w:val="sv-SE"/>
              </w:rPr>
              <w:br/>
              <w:t>(oreviderad)</w:t>
            </w:r>
          </w:p>
        </w:tc>
        <w:tc>
          <w:tcPr>
            <w:tcW w:w="1350" w:type="dxa"/>
            <w:shd w:val="clear" w:color="auto" w:fill="D9D9D9" w:themeFill="background1" w:themeFillShade="D9"/>
          </w:tcPr>
          <w:p w14:paraId="2269A4FD" w14:textId="1175A1DC" w:rsidR="009D4A74" w:rsidRPr="00D97EEA" w:rsidRDefault="00F00844" w:rsidP="0001212C">
            <w:pPr>
              <w:spacing w:after="180"/>
              <w:jc w:val="right"/>
              <w:rPr>
                <w:b/>
                <w:sz w:val="20"/>
                <w:szCs w:val="20"/>
                <w:lang w:val="sv-SE"/>
              </w:rPr>
            </w:pPr>
            <w:r w:rsidRPr="00D97EEA">
              <w:rPr>
                <w:b/>
                <w:sz w:val="20"/>
                <w:szCs w:val="20"/>
                <w:lang w:val="sv-SE"/>
              </w:rPr>
              <w:t xml:space="preserve">Sex månader avslutade </w:t>
            </w:r>
            <w:r w:rsidRPr="00D97EEA">
              <w:rPr>
                <w:b/>
                <w:sz w:val="20"/>
                <w:szCs w:val="20"/>
                <w:lang w:val="sv-SE"/>
              </w:rPr>
              <w:br/>
            </w:r>
            <w:r w:rsidR="009D4A74" w:rsidRPr="00D97EEA">
              <w:rPr>
                <w:b/>
                <w:sz w:val="20"/>
                <w:szCs w:val="20"/>
                <w:lang w:val="sv-SE"/>
              </w:rPr>
              <w:t xml:space="preserve">30 juni </w:t>
            </w:r>
            <w:r w:rsidRPr="00D97EEA">
              <w:rPr>
                <w:b/>
                <w:sz w:val="20"/>
                <w:szCs w:val="20"/>
                <w:lang w:val="sv-SE"/>
              </w:rPr>
              <w:t>2022</w:t>
            </w:r>
            <w:r w:rsidRPr="00D97EEA">
              <w:rPr>
                <w:b/>
                <w:sz w:val="20"/>
                <w:szCs w:val="20"/>
                <w:lang w:val="sv-SE"/>
              </w:rPr>
              <w:br/>
              <w:t>(oreviderad)</w:t>
            </w:r>
          </w:p>
        </w:tc>
        <w:tc>
          <w:tcPr>
            <w:tcW w:w="1408" w:type="dxa"/>
            <w:shd w:val="clear" w:color="auto" w:fill="D9D9D9" w:themeFill="background1" w:themeFillShade="D9"/>
          </w:tcPr>
          <w:p w14:paraId="49EB3967" w14:textId="68CF3296" w:rsidR="009D4A74" w:rsidRPr="00D97EEA" w:rsidRDefault="00F00844" w:rsidP="0001212C">
            <w:pPr>
              <w:spacing w:after="180"/>
              <w:jc w:val="right"/>
              <w:rPr>
                <w:b/>
                <w:sz w:val="20"/>
                <w:szCs w:val="20"/>
                <w:lang w:val="sv-SE"/>
              </w:rPr>
            </w:pPr>
            <w:r w:rsidRPr="00D97EEA">
              <w:rPr>
                <w:b/>
                <w:sz w:val="20"/>
                <w:szCs w:val="20"/>
                <w:lang w:val="sv-SE"/>
              </w:rPr>
              <w:t>2022</w:t>
            </w:r>
          </w:p>
        </w:tc>
        <w:tc>
          <w:tcPr>
            <w:tcW w:w="1337" w:type="dxa"/>
            <w:shd w:val="clear" w:color="auto" w:fill="D9D9D9" w:themeFill="background1" w:themeFillShade="D9"/>
          </w:tcPr>
          <w:p w14:paraId="600606CC" w14:textId="6FD49123" w:rsidR="009D4A74" w:rsidRPr="00D97EEA" w:rsidRDefault="00F00844" w:rsidP="0001212C">
            <w:pPr>
              <w:spacing w:after="180"/>
              <w:jc w:val="right"/>
              <w:rPr>
                <w:b/>
                <w:sz w:val="20"/>
                <w:szCs w:val="20"/>
                <w:lang w:val="sv-SE"/>
              </w:rPr>
            </w:pPr>
            <w:r w:rsidRPr="00D97EEA">
              <w:rPr>
                <w:b/>
                <w:sz w:val="20"/>
                <w:szCs w:val="20"/>
                <w:lang w:val="sv-SE"/>
              </w:rPr>
              <w:t>2021</w:t>
            </w:r>
          </w:p>
        </w:tc>
      </w:tr>
      <w:tr w:rsidR="00F00844" w:rsidRPr="00D97EEA" w14:paraId="33DF6821" w14:textId="77777777" w:rsidTr="00F00844">
        <w:tc>
          <w:tcPr>
            <w:tcW w:w="2719" w:type="dxa"/>
          </w:tcPr>
          <w:p w14:paraId="3FD9103B" w14:textId="77777777" w:rsidR="00F00844" w:rsidRPr="00D97EEA" w:rsidRDefault="00F00844" w:rsidP="00F00844">
            <w:pPr>
              <w:spacing w:after="180"/>
              <w:jc w:val="both"/>
              <w:rPr>
                <w:sz w:val="20"/>
                <w:szCs w:val="20"/>
                <w:lang w:val="sv-SE"/>
              </w:rPr>
            </w:pPr>
            <w:r w:rsidRPr="00D97EEA">
              <w:rPr>
                <w:sz w:val="20"/>
                <w:szCs w:val="20"/>
                <w:lang w:val="sv-SE"/>
              </w:rPr>
              <w:t>Nettokassaflöde från den löpande verksamheten</w:t>
            </w:r>
          </w:p>
        </w:tc>
        <w:tc>
          <w:tcPr>
            <w:tcW w:w="1709" w:type="dxa"/>
          </w:tcPr>
          <w:p w14:paraId="05507A02" w14:textId="48D0D417" w:rsidR="00F00844" w:rsidRPr="00D97EEA" w:rsidRDefault="00F00844" w:rsidP="00F00844">
            <w:pPr>
              <w:spacing w:after="180"/>
              <w:jc w:val="right"/>
              <w:rPr>
                <w:sz w:val="20"/>
                <w:szCs w:val="20"/>
                <w:lang w:val="sv-SE"/>
              </w:rPr>
            </w:pPr>
            <w:r w:rsidRPr="00D97EEA">
              <w:rPr>
                <w:rFonts w:eastAsia="Calibri"/>
                <w:sz w:val="20"/>
                <w:szCs w:val="20"/>
                <w:lang w:val="en-GB"/>
              </w:rPr>
              <w:t>595,547</w:t>
            </w:r>
          </w:p>
        </w:tc>
        <w:tc>
          <w:tcPr>
            <w:tcW w:w="1350" w:type="dxa"/>
          </w:tcPr>
          <w:p w14:paraId="7B6558A5" w14:textId="0E65513F" w:rsidR="00F00844" w:rsidRPr="00D97EEA" w:rsidRDefault="00F00844" w:rsidP="00F00844">
            <w:pPr>
              <w:spacing w:after="180"/>
              <w:jc w:val="right"/>
              <w:rPr>
                <w:sz w:val="20"/>
                <w:szCs w:val="20"/>
                <w:lang w:val="sv-SE"/>
              </w:rPr>
            </w:pPr>
            <w:r w:rsidRPr="00D97EEA">
              <w:rPr>
                <w:rFonts w:eastAsia="Calibri"/>
                <w:sz w:val="20"/>
                <w:szCs w:val="20"/>
                <w:lang w:val="en-GB"/>
              </w:rPr>
              <w:t>-1,642,140</w:t>
            </w:r>
          </w:p>
        </w:tc>
        <w:tc>
          <w:tcPr>
            <w:tcW w:w="1408" w:type="dxa"/>
          </w:tcPr>
          <w:p w14:paraId="7A069B70" w14:textId="5FEA9E06" w:rsidR="00F00844" w:rsidRPr="00D97EEA" w:rsidRDefault="00F00844" w:rsidP="00F00844">
            <w:pPr>
              <w:spacing w:after="180"/>
              <w:jc w:val="right"/>
              <w:rPr>
                <w:sz w:val="20"/>
                <w:szCs w:val="20"/>
                <w:lang w:val="sv-SE"/>
              </w:rPr>
            </w:pPr>
            <w:r w:rsidRPr="00D97EEA">
              <w:rPr>
                <w:rFonts w:eastAsia="Calibri"/>
                <w:sz w:val="20"/>
                <w:szCs w:val="20"/>
                <w:lang w:val="en-GB"/>
              </w:rPr>
              <w:t>-3,257,493</w:t>
            </w:r>
          </w:p>
        </w:tc>
        <w:tc>
          <w:tcPr>
            <w:tcW w:w="1337" w:type="dxa"/>
          </w:tcPr>
          <w:p w14:paraId="6A860E4C" w14:textId="46BD389A" w:rsidR="00F00844" w:rsidRPr="00D97EEA" w:rsidRDefault="00F00844" w:rsidP="00F00844">
            <w:pPr>
              <w:spacing w:after="180"/>
              <w:jc w:val="right"/>
              <w:rPr>
                <w:sz w:val="20"/>
                <w:szCs w:val="20"/>
                <w:lang w:val="sv-SE"/>
              </w:rPr>
            </w:pPr>
            <w:r w:rsidRPr="00D97EEA">
              <w:rPr>
                <w:rFonts w:eastAsia="Calibri"/>
                <w:sz w:val="20"/>
                <w:szCs w:val="20"/>
                <w:lang w:val="en-GB"/>
              </w:rPr>
              <w:t>3,490,039</w:t>
            </w:r>
          </w:p>
        </w:tc>
      </w:tr>
      <w:tr w:rsidR="00F00844" w:rsidRPr="00D97EEA" w14:paraId="618DC91B" w14:textId="77777777" w:rsidTr="00F00844">
        <w:tc>
          <w:tcPr>
            <w:tcW w:w="2719" w:type="dxa"/>
          </w:tcPr>
          <w:p w14:paraId="1CAA90C2" w14:textId="77777777" w:rsidR="00F00844" w:rsidRPr="00D97EEA" w:rsidRDefault="00F00844" w:rsidP="00F00844">
            <w:pPr>
              <w:spacing w:after="180"/>
              <w:jc w:val="both"/>
              <w:rPr>
                <w:sz w:val="20"/>
                <w:szCs w:val="20"/>
                <w:lang w:val="sv-SE"/>
              </w:rPr>
            </w:pPr>
            <w:r w:rsidRPr="00D97EEA">
              <w:rPr>
                <w:sz w:val="20"/>
                <w:szCs w:val="20"/>
                <w:lang w:val="sv-SE"/>
              </w:rPr>
              <w:t>Nettokassaflöde från finansieringsaktiviteter</w:t>
            </w:r>
          </w:p>
        </w:tc>
        <w:tc>
          <w:tcPr>
            <w:tcW w:w="1709" w:type="dxa"/>
          </w:tcPr>
          <w:p w14:paraId="568022FD" w14:textId="64313F6A" w:rsidR="00F00844" w:rsidRPr="00D97EEA" w:rsidRDefault="00F00844" w:rsidP="00F00844">
            <w:pPr>
              <w:spacing w:after="180"/>
              <w:jc w:val="right"/>
              <w:rPr>
                <w:sz w:val="20"/>
                <w:szCs w:val="20"/>
                <w:lang w:val="sv-SE"/>
              </w:rPr>
            </w:pPr>
            <w:r w:rsidRPr="00D97EEA">
              <w:rPr>
                <w:rFonts w:eastAsia="Calibri"/>
                <w:sz w:val="20"/>
                <w:szCs w:val="20"/>
                <w:lang w:val="en-GB"/>
              </w:rPr>
              <w:t>0</w:t>
            </w:r>
          </w:p>
        </w:tc>
        <w:tc>
          <w:tcPr>
            <w:tcW w:w="1350" w:type="dxa"/>
          </w:tcPr>
          <w:p w14:paraId="0CCB2CD0" w14:textId="505AACAF" w:rsidR="00F00844" w:rsidRPr="00D97EEA" w:rsidRDefault="00F00844" w:rsidP="00F00844">
            <w:pPr>
              <w:spacing w:after="180"/>
              <w:jc w:val="right"/>
              <w:rPr>
                <w:sz w:val="20"/>
                <w:szCs w:val="20"/>
                <w:lang w:val="sv-SE"/>
              </w:rPr>
            </w:pPr>
            <w:r w:rsidRPr="00D97EEA">
              <w:rPr>
                <w:rFonts w:eastAsia="Calibri"/>
                <w:sz w:val="20"/>
                <w:szCs w:val="20"/>
                <w:lang w:val="en-GB"/>
              </w:rPr>
              <w:t>0</w:t>
            </w:r>
          </w:p>
        </w:tc>
        <w:tc>
          <w:tcPr>
            <w:tcW w:w="1408" w:type="dxa"/>
          </w:tcPr>
          <w:p w14:paraId="6982E66D" w14:textId="419F93FC" w:rsidR="00F00844" w:rsidRPr="00D97EEA" w:rsidRDefault="00F00844" w:rsidP="00F00844">
            <w:pPr>
              <w:spacing w:after="180"/>
              <w:jc w:val="right"/>
              <w:rPr>
                <w:sz w:val="20"/>
                <w:szCs w:val="20"/>
                <w:lang w:val="sv-SE"/>
              </w:rPr>
            </w:pPr>
            <w:r w:rsidRPr="00D97EEA">
              <w:rPr>
                <w:rFonts w:eastAsia="Calibri"/>
                <w:sz w:val="20"/>
                <w:szCs w:val="20"/>
                <w:lang w:val="en-GB"/>
              </w:rPr>
              <w:t>0</w:t>
            </w:r>
          </w:p>
        </w:tc>
        <w:tc>
          <w:tcPr>
            <w:tcW w:w="1337" w:type="dxa"/>
          </w:tcPr>
          <w:p w14:paraId="5DCECCA5" w14:textId="21FCFF4B" w:rsidR="00F00844" w:rsidRPr="00D97EEA" w:rsidRDefault="00F00844" w:rsidP="00F00844">
            <w:pPr>
              <w:spacing w:after="180"/>
              <w:jc w:val="right"/>
              <w:rPr>
                <w:sz w:val="20"/>
                <w:szCs w:val="20"/>
                <w:lang w:val="sv-SE"/>
              </w:rPr>
            </w:pPr>
            <w:r w:rsidRPr="00D97EEA">
              <w:rPr>
                <w:rFonts w:eastAsia="Calibri"/>
                <w:sz w:val="20"/>
                <w:szCs w:val="20"/>
                <w:lang w:val="en-GB"/>
              </w:rPr>
              <w:t>0</w:t>
            </w:r>
          </w:p>
        </w:tc>
      </w:tr>
      <w:tr w:rsidR="00F00844" w:rsidRPr="00D97EEA" w14:paraId="05C966FD" w14:textId="77777777" w:rsidTr="00F00844">
        <w:tc>
          <w:tcPr>
            <w:tcW w:w="2719" w:type="dxa"/>
          </w:tcPr>
          <w:p w14:paraId="1768F19E" w14:textId="77777777" w:rsidR="00F00844" w:rsidRPr="00D97EEA" w:rsidRDefault="00F00844" w:rsidP="00F00844">
            <w:pPr>
              <w:spacing w:after="180"/>
              <w:jc w:val="both"/>
              <w:rPr>
                <w:sz w:val="20"/>
                <w:szCs w:val="20"/>
                <w:lang w:val="sv-SE"/>
              </w:rPr>
            </w:pPr>
            <w:r w:rsidRPr="00D97EEA">
              <w:rPr>
                <w:sz w:val="20"/>
                <w:szCs w:val="20"/>
                <w:lang w:val="sv-SE"/>
              </w:rPr>
              <w:t>Nettokassaflöde från investeringsaktiviteter</w:t>
            </w:r>
          </w:p>
        </w:tc>
        <w:tc>
          <w:tcPr>
            <w:tcW w:w="1709" w:type="dxa"/>
          </w:tcPr>
          <w:p w14:paraId="300A07F3" w14:textId="01DAA46F" w:rsidR="00F00844" w:rsidRPr="00D97EEA" w:rsidRDefault="00F00844" w:rsidP="00F00844">
            <w:pPr>
              <w:spacing w:after="180"/>
              <w:jc w:val="right"/>
              <w:rPr>
                <w:sz w:val="20"/>
                <w:szCs w:val="20"/>
                <w:lang w:val="sv-SE"/>
              </w:rPr>
            </w:pPr>
            <w:r w:rsidRPr="00D97EEA">
              <w:rPr>
                <w:rFonts w:eastAsia="Calibri"/>
                <w:sz w:val="20"/>
                <w:szCs w:val="20"/>
                <w:lang w:val="en-GB"/>
              </w:rPr>
              <w:t>0</w:t>
            </w:r>
          </w:p>
        </w:tc>
        <w:tc>
          <w:tcPr>
            <w:tcW w:w="1350" w:type="dxa"/>
          </w:tcPr>
          <w:p w14:paraId="0BDFCF0C" w14:textId="3BE2F50A" w:rsidR="00F00844" w:rsidRPr="00D97EEA" w:rsidRDefault="00F00844" w:rsidP="00F00844">
            <w:pPr>
              <w:spacing w:after="180"/>
              <w:jc w:val="right"/>
              <w:rPr>
                <w:sz w:val="20"/>
                <w:szCs w:val="20"/>
                <w:lang w:val="sv-SE"/>
              </w:rPr>
            </w:pPr>
            <w:r w:rsidRPr="00D97EEA">
              <w:rPr>
                <w:rFonts w:eastAsia="Calibri"/>
                <w:sz w:val="20"/>
                <w:szCs w:val="20"/>
                <w:lang w:val="en-GB"/>
              </w:rPr>
              <w:t>0</w:t>
            </w:r>
          </w:p>
        </w:tc>
        <w:tc>
          <w:tcPr>
            <w:tcW w:w="1408" w:type="dxa"/>
          </w:tcPr>
          <w:p w14:paraId="2416A3B4" w14:textId="0CDF5BC0" w:rsidR="00F00844" w:rsidRPr="00D97EEA" w:rsidRDefault="00F00844" w:rsidP="00F00844">
            <w:pPr>
              <w:spacing w:after="180"/>
              <w:jc w:val="right"/>
              <w:rPr>
                <w:sz w:val="20"/>
                <w:szCs w:val="20"/>
                <w:lang w:val="sv-SE"/>
              </w:rPr>
            </w:pPr>
            <w:r w:rsidRPr="00D97EEA">
              <w:rPr>
                <w:rFonts w:eastAsia="Calibri"/>
                <w:sz w:val="20"/>
                <w:szCs w:val="20"/>
                <w:lang w:val="en-GB"/>
              </w:rPr>
              <w:t>0</w:t>
            </w:r>
          </w:p>
        </w:tc>
        <w:tc>
          <w:tcPr>
            <w:tcW w:w="1337" w:type="dxa"/>
          </w:tcPr>
          <w:p w14:paraId="1392E78A" w14:textId="6FCF9A6E" w:rsidR="00F00844" w:rsidRPr="00D97EEA" w:rsidRDefault="00F00844" w:rsidP="00F00844">
            <w:pPr>
              <w:spacing w:after="180"/>
              <w:jc w:val="right"/>
              <w:rPr>
                <w:sz w:val="20"/>
                <w:szCs w:val="20"/>
                <w:lang w:val="sv-SE"/>
              </w:rPr>
            </w:pPr>
            <w:r w:rsidRPr="00D97EEA">
              <w:rPr>
                <w:rFonts w:eastAsia="Calibri"/>
                <w:sz w:val="20"/>
                <w:szCs w:val="20"/>
                <w:lang w:val="en-GB"/>
              </w:rPr>
              <w:t>0</w:t>
            </w:r>
          </w:p>
        </w:tc>
      </w:tr>
    </w:tbl>
    <w:p w14:paraId="1A80A0D3" w14:textId="77777777" w:rsidR="009D4A74" w:rsidRPr="00D97EEA" w:rsidRDefault="009D4A74" w:rsidP="009D4A74">
      <w:pPr>
        <w:pStyle w:val="wText1"/>
        <w:spacing w:after="0"/>
        <w:rPr>
          <w:sz w:val="20"/>
          <w:szCs w:val="20"/>
        </w:rPr>
      </w:pPr>
    </w:p>
    <w:p w14:paraId="53A678DF" w14:textId="77777777" w:rsidR="009D4A74" w:rsidRPr="00D97EEA" w:rsidRDefault="009D4A74" w:rsidP="009D4A74">
      <w:pPr>
        <w:pStyle w:val="Heading3"/>
        <w:numPr>
          <w:ilvl w:val="2"/>
          <w:numId w:val="42"/>
        </w:numPr>
        <w:tabs>
          <w:tab w:val="clear" w:pos="1004"/>
          <w:tab w:val="num" w:pos="720"/>
        </w:tabs>
        <w:spacing w:after="60"/>
        <w:ind w:left="720"/>
        <w:rPr>
          <w:b/>
          <w:bCs/>
          <w:sz w:val="20"/>
          <w:szCs w:val="20"/>
          <w:lang w:val="sv-SE"/>
        </w:rPr>
      </w:pPr>
      <w:r w:rsidRPr="00D97EEA">
        <w:rPr>
          <w:b/>
          <w:bCs/>
          <w:sz w:val="20"/>
          <w:szCs w:val="20"/>
          <w:lang w:val="sv-SE"/>
        </w:rPr>
        <w:t>Specifika nyckelrisker för emittenten</w:t>
      </w:r>
    </w:p>
    <w:p w14:paraId="3477E206" w14:textId="113F2289" w:rsidR="009D4A74" w:rsidRPr="00D97EEA" w:rsidRDefault="009D4A74" w:rsidP="009D4A74">
      <w:pPr>
        <w:pStyle w:val="wText1"/>
        <w:spacing w:after="60"/>
        <w:ind w:left="0"/>
        <w:rPr>
          <w:i/>
          <w:sz w:val="20"/>
          <w:szCs w:val="20"/>
          <w:lang w:val="sv-SE"/>
        </w:rPr>
      </w:pPr>
      <w:r w:rsidRPr="00D97EEA">
        <w:rPr>
          <w:i/>
          <w:sz w:val="20"/>
          <w:szCs w:val="20"/>
          <w:lang w:val="sv-SE"/>
        </w:rPr>
        <w:t xml:space="preserve">Följande riskfaktorer är väsentliga med avseende på emittentens förmåga att uppfylla sina förpliktelser </w:t>
      </w:r>
      <w:r w:rsidR="005C768B" w:rsidRPr="00D97EEA">
        <w:rPr>
          <w:i/>
          <w:iCs/>
          <w:sz w:val="20"/>
          <w:szCs w:val="20"/>
          <w:lang w:val="sv-SE"/>
        </w:rPr>
        <w:t>relaterade</w:t>
      </w:r>
      <w:r w:rsidR="005C768B" w:rsidRPr="00D97EEA" w:rsidDel="00C632CB">
        <w:rPr>
          <w:i/>
          <w:iCs/>
          <w:sz w:val="20"/>
          <w:szCs w:val="20"/>
          <w:lang w:val="sv-SE"/>
        </w:rPr>
        <w:t xml:space="preserve"> </w:t>
      </w:r>
      <w:r w:rsidRPr="00D97EEA">
        <w:rPr>
          <w:i/>
          <w:sz w:val="20"/>
          <w:szCs w:val="20"/>
          <w:lang w:val="sv-SE"/>
        </w:rPr>
        <w:t>till obligationer som den emitterar.</w:t>
      </w:r>
    </w:p>
    <w:p w14:paraId="432129BC" w14:textId="56517D2B" w:rsidR="00F00844" w:rsidRPr="00D97EEA" w:rsidRDefault="00F00844" w:rsidP="00F00844">
      <w:pPr>
        <w:pStyle w:val="wText1"/>
        <w:spacing w:after="60"/>
        <w:ind w:left="0"/>
        <w:rPr>
          <w:sz w:val="20"/>
          <w:szCs w:val="20"/>
          <w:lang w:val="sv-SE"/>
        </w:rPr>
      </w:pPr>
    </w:p>
    <w:p w14:paraId="6575B5E4" w14:textId="3E1CA548" w:rsidR="00F00844" w:rsidRPr="00D97EEA" w:rsidRDefault="00C632CB" w:rsidP="00F00844">
      <w:pPr>
        <w:pStyle w:val="wText1"/>
        <w:spacing w:after="60"/>
        <w:ind w:left="0"/>
        <w:rPr>
          <w:i/>
          <w:iCs/>
          <w:sz w:val="20"/>
          <w:szCs w:val="20"/>
          <w:lang w:val="sv-SE"/>
        </w:rPr>
      </w:pPr>
      <w:r w:rsidRPr="00D97EEA">
        <w:rPr>
          <w:i/>
          <w:iCs/>
          <w:sz w:val="20"/>
          <w:szCs w:val="20"/>
          <w:lang w:val="sv-SE"/>
        </w:rPr>
        <w:t>Risker relaterade</w:t>
      </w:r>
      <w:r w:rsidRPr="00D97EEA" w:rsidDel="00C632CB">
        <w:rPr>
          <w:i/>
          <w:iCs/>
          <w:sz w:val="20"/>
          <w:szCs w:val="20"/>
          <w:lang w:val="sv-SE"/>
        </w:rPr>
        <w:t xml:space="preserve"> </w:t>
      </w:r>
      <w:r w:rsidR="00F00844" w:rsidRPr="00D97EEA">
        <w:rPr>
          <w:i/>
          <w:iCs/>
          <w:sz w:val="20"/>
          <w:szCs w:val="20"/>
          <w:lang w:val="sv-SE"/>
        </w:rPr>
        <w:t xml:space="preserve">till </w:t>
      </w:r>
      <w:proofErr w:type="spellStart"/>
      <w:r w:rsidR="00F00844" w:rsidRPr="00D97EEA">
        <w:rPr>
          <w:i/>
          <w:iCs/>
          <w:sz w:val="20"/>
          <w:szCs w:val="20"/>
          <w:lang w:val="sv-SE"/>
        </w:rPr>
        <w:t>emittentens</w:t>
      </w:r>
      <w:proofErr w:type="spellEnd"/>
      <w:r w:rsidR="00F00844" w:rsidRPr="00D97EEA">
        <w:rPr>
          <w:i/>
          <w:iCs/>
          <w:sz w:val="20"/>
          <w:szCs w:val="20"/>
          <w:lang w:val="sv-SE"/>
        </w:rPr>
        <w:t xml:space="preserve"> begränsade affärsmål: </w:t>
      </w:r>
      <w:r w:rsidR="00F00844" w:rsidRPr="00D97EEA">
        <w:rPr>
          <w:sz w:val="20"/>
          <w:szCs w:val="20"/>
          <w:lang w:val="sv-SE"/>
        </w:rPr>
        <w:t>Fokus för emittentens affärsverksamhet är att ge ut obligationer kopplade till kryptovaluta samt utförande av bidrag till den relevanta underliggande nätverket för kryptovalutan för att underlätta, validera och godkänna transaktioner på sådant nätverk relaterade till kryptovalutan ("</w:t>
      </w:r>
      <w:r w:rsidR="00F00844" w:rsidRPr="00D97EEA">
        <w:rPr>
          <w:b/>
          <w:bCs/>
          <w:sz w:val="20"/>
          <w:szCs w:val="20"/>
          <w:lang w:val="sv-SE"/>
        </w:rPr>
        <w:t>Staking</w:t>
      </w:r>
      <w:r w:rsidR="00F00844" w:rsidRPr="00D97EEA">
        <w:rPr>
          <w:sz w:val="20"/>
          <w:szCs w:val="20"/>
          <w:lang w:val="sv-SE"/>
        </w:rPr>
        <w:t xml:space="preserve">"). </w:t>
      </w:r>
      <w:r w:rsidR="00F00844" w:rsidRPr="00D97EEA">
        <w:rPr>
          <w:sz w:val="20"/>
          <w:szCs w:val="20"/>
          <w:lang w:val="da-DK"/>
        </w:rPr>
        <w:t>Emittenten kommer inte bedriva någon annan verksamhet än den som beskrivs ovan (se under ”</w:t>
      </w:r>
      <w:r w:rsidR="00F00844" w:rsidRPr="00D97EEA">
        <w:rPr>
          <w:i/>
          <w:iCs/>
          <w:sz w:val="20"/>
          <w:szCs w:val="20"/>
          <w:lang w:val="da-DK"/>
        </w:rPr>
        <w:t>1.2.1.1. Emittentens huvudverksamhet</w:t>
      </w:r>
      <w:r w:rsidR="00F00844" w:rsidRPr="00D97EEA">
        <w:rPr>
          <w:sz w:val="20"/>
          <w:szCs w:val="20"/>
          <w:lang w:val="da-DK"/>
        </w:rPr>
        <w:t>”). På grund av detta begränsade affärsmål är emittenten utsatt för risken för en dålig eller mindre bra utveckling för den underliggande kryptovalutan. Emittenten kan då misslyckas med att bedriva sin verksamhet vilket kan inverka negativt på emittentens verksamhet och finansiella ställning.</w:t>
      </w:r>
    </w:p>
    <w:p w14:paraId="479E707E" w14:textId="6BFD87E1" w:rsidR="009D4A74" w:rsidRPr="00D97EEA" w:rsidRDefault="009D4A74" w:rsidP="009D4A74">
      <w:pPr>
        <w:pStyle w:val="wText1"/>
        <w:spacing w:after="60"/>
        <w:ind w:left="0"/>
        <w:rPr>
          <w:sz w:val="20"/>
          <w:szCs w:val="20"/>
          <w:lang w:val="sv-SE"/>
        </w:rPr>
      </w:pPr>
      <w:r w:rsidRPr="00D97EEA">
        <w:rPr>
          <w:i/>
          <w:iCs/>
          <w:sz w:val="20"/>
          <w:szCs w:val="20"/>
          <w:lang w:val="sv-SE"/>
        </w:rPr>
        <w:t xml:space="preserve">Risker på grund av att emittenten </w:t>
      </w:r>
      <w:r w:rsidR="00C632CB" w:rsidRPr="00D97EEA">
        <w:rPr>
          <w:i/>
          <w:iCs/>
          <w:sz w:val="20"/>
          <w:szCs w:val="20"/>
          <w:lang w:val="sv-SE"/>
        </w:rPr>
        <w:t>inte har en lång och omfattande historik</w:t>
      </w:r>
      <w:r w:rsidRPr="00D97EEA">
        <w:rPr>
          <w:sz w:val="20"/>
          <w:szCs w:val="20"/>
          <w:lang w:val="sv-SE"/>
        </w:rPr>
        <w:t>:</w:t>
      </w:r>
      <w:r w:rsidRPr="00D97EEA">
        <w:rPr>
          <w:i/>
          <w:iCs/>
          <w:sz w:val="20"/>
          <w:szCs w:val="20"/>
          <w:lang w:val="sv-SE"/>
        </w:rPr>
        <w:t xml:space="preserve"> </w:t>
      </w:r>
      <w:proofErr w:type="spellStart"/>
      <w:r w:rsidRPr="00D97EEA">
        <w:rPr>
          <w:sz w:val="20"/>
          <w:szCs w:val="20"/>
          <w:lang w:val="sv-SE"/>
        </w:rPr>
        <w:t>Emittenten</w:t>
      </w:r>
      <w:proofErr w:type="spellEnd"/>
      <w:r w:rsidRPr="00D97EEA">
        <w:rPr>
          <w:sz w:val="20"/>
          <w:szCs w:val="20"/>
          <w:lang w:val="sv-SE"/>
        </w:rPr>
        <w:t xml:space="preserve"> registrerades i den lokala domstolens handelsregister (</w:t>
      </w:r>
      <w:r w:rsidRPr="00D97EEA">
        <w:rPr>
          <w:i/>
          <w:iCs/>
          <w:sz w:val="20"/>
          <w:szCs w:val="20"/>
          <w:lang w:val="sv-SE"/>
        </w:rPr>
        <w:t>Amtsgericht</w:t>
      </w:r>
      <w:r w:rsidRPr="00D97EEA">
        <w:rPr>
          <w:sz w:val="20"/>
          <w:szCs w:val="20"/>
          <w:lang w:val="sv-SE"/>
        </w:rPr>
        <w:t>) i Frankfurt am Main, Tyskland den 27 augusti 2019. På grund av en sådan kort verksamhetstid har emittenten inte några långtgående och omfattande beprövade resultat över att framgångsrikt bedriva den verksamhet som beskrivs häri, vilket innebär att det tillkommer kommersiella risker som kan ha en negativ inverkan på emittentens affärs- och finansiella ställning.</w:t>
      </w:r>
    </w:p>
    <w:p w14:paraId="4F0F9FE3" w14:textId="2D69AFB6" w:rsidR="00F00844" w:rsidRPr="00D97EEA" w:rsidRDefault="00F00844" w:rsidP="00F00844">
      <w:pPr>
        <w:pStyle w:val="wText1"/>
        <w:spacing w:after="60"/>
        <w:ind w:left="0"/>
        <w:rPr>
          <w:sz w:val="20"/>
          <w:szCs w:val="20"/>
          <w:lang w:val="sv-SE"/>
        </w:rPr>
      </w:pPr>
    </w:p>
    <w:p w14:paraId="17F21083" w14:textId="7E5CF428" w:rsidR="00F00844" w:rsidRPr="00D97EEA" w:rsidRDefault="00F00844" w:rsidP="00F00844">
      <w:pPr>
        <w:pStyle w:val="wText1"/>
        <w:spacing w:after="60"/>
        <w:ind w:left="0"/>
        <w:rPr>
          <w:sz w:val="20"/>
          <w:szCs w:val="20"/>
          <w:lang w:val="sv-SE"/>
        </w:rPr>
      </w:pPr>
      <w:r w:rsidRPr="00D97EEA">
        <w:rPr>
          <w:i/>
          <w:iCs/>
          <w:sz w:val="20"/>
          <w:szCs w:val="20"/>
          <w:lang w:val="sv-SE"/>
        </w:rPr>
        <w:t>Större aktieägare:</w:t>
      </w:r>
      <w:r w:rsidRPr="00D97EEA">
        <w:rPr>
          <w:sz w:val="20"/>
          <w:szCs w:val="20"/>
          <w:lang w:val="sv-SE"/>
        </w:rPr>
        <w:t xml:space="preserve"> Aktierna i holdingbolaget är mycket koncentrerade: (i) XTX och (ii) MLM som tillsammans innehar mer än 50,00 procent av rösterna. </w:t>
      </w:r>
      <w:r w:rsidRPr="00D97EEA">
        <w:rPr>
          <w:sz w:val="20"/>
          <w:szCs w:val="20"/>
          <w:lang w:val="da-DK"/>
        </w:rPr>
        <w:t>Dessa aktieägare eller deras företrädare har möjlighet att genom majoritetsomröstning avlägsna en eller samtliga ledamöter från emittentens styrelse. Därför har dessa aktieägare ett betydande inflytande på emittentens ledning. Det lämnas ingen försäkran om att dessa aktieägare eller deras företrädare kommer att utöva sin rösträtt på ett sätt som gynnar emittenten eller investerarna.</w:t>
      </w:r>
    </w:p>
    <w:p w14:paraId="71AB1EE0" w14:textId="77777777" w:rsidR="009D4A74" w:rsidRPr="00D97EEA" w:rsidRDefault="009D4A74" w:rsidP="009D4A74">
      <w:pPr>
        <w:pStyle w:val="wText1"/>
        <w:spacing w:after="60"/>
        <w:ind w:left="0"/>
        <w:rPr>
          <w:sz w:val="20"/>
          <w:szCs w:val="20"/>
          <w:lang w:val="sv-SE"/>
        </w:rPr>
      </w:pPr>
      <w:r w:rsidRPr="00D97EEA">
        <w:rPr>
          <w:i/>
          <w:iCs/>
          <w:sz w:val="20"/>
          <w:szCs w:val="20"/>
          <w:lang w:val="sv-SE"/>
        </w:rPr>
        <w:t>Beroende av tillstånd.</w:t>
      </w:r>
      <w:r w:rsidRPr="00D97EEA">
        <w:rPr>
          <w:sz w:val="20"/>
          <w:szCs w:val="20"/>
          <w:lang w:val="sv-SE"/>
        </w:rPr>
        <w:t xml:space="preserve"> Emittenten är beroende av att Frankfurtbörsen har fortsatt tillstånd och tillåtelse att emittera och börsnotera obligationer enligt tyska regler och förordningar. Varje förändring av börsnoteringskrav, regler kring obligationer eller godtagande av kryptovaluta som underliggande tillgång kan ha en negativ inverkan på emittenten och investerarna i obligationerna.</w:t>
      </w:r>
    </w:p>
    <w:p w14:paraId="4CCC5F26" w14:textId="77777777" w:rsidR="009D4A74" w:rsidRPr="00D97EEA" w:rsidRDefault="009D4A74" w:rsidP="009D4A74">
      <w:pPr>
        <w:pStyle w:val="wText1"/>
        <w:spacing w:after="120"/>
        <w:ind w:left="0"/>
        <w:rPr>
          <w:sz w:val="20"/>
          <w:szCs w:val="20"/>
          <w:lang w:val="sv-SE"/>
        </w:rPr>
      </w:pPr>
      <w:r w:rsidRPr="00D97EEA">
        <w:rPr>
          <w:i/>
          <w:iCs/>
          <w:sz w:val="20"/>
          <w:szCs w:val="20"/>
          <w:lang w:val="sv-SE"/>
        </w:rPr>
        <w:t>Angrepp från ”hackare” och sabotage från andra länder än emittentens</w:t>
      </w:r>
      <w:r w:rsidRPr="00D97EEA">
        <w:rPr>
          <w:sz w:val="20"/>
          <w:szCs w:val="20"/>
          <w:lang w:val="sv-SE"/>
        </w:rPr>
        <w:t>: Hela emittentens verksamhet är beroende av viss IT-infrastruktur. Dessutom förlitar sig tjänsteleverantörer (</w:t>
      </w:r>
      <w:proofErr w:type="gramStart"/>
      <w:r w:rsidRPr="00D97EEA">
        <w:rPr>
          <w:sz w:val="20"/>
          <w:szCs w:val="20"/>
          <w:lang w:val="sv-SE"/>
        </w:rPr>
        <w:t>t.ex.</w:t>
      </w:r>
      <w:proofErr w:type="gramEnd"/>
      <w:r w:rsidRPr="00D97EEA">
        <w:rPr>
          <w:sz w:val="20"/>
          <w:szCs w:val="20"/>
          <w:lang w:val="sv-SE"/>
        </w:rPr>
        <w:t xml:space="preserve"> administratören, betalningsombudet och clearingsystemet) på att IT-system tillhandahåller tjänster till emittenten. Såväl emittentens IT-system som IT-system hos tjänsteleverantörer kan hackas av brottslingar. Emittenten är utsatt för risken att delvis, tillfälligt eller till och med permanent hindras från att bedriva sin affärsverksamhet och till och med att hamna på obestånd, och obligationsinnehavarna (”</w:t>
      </w:r>
      <w:r w:rsidRPr="00D97EEA">
        <w:rPr>
          <w:b/>
          <w:sz w:val="20"/>
          <w:szCs w:val="20"/>
          <w:lang w:val="sv-SE"/>
        </w:rPr>
        <w:t>obligationsinnehavarna</w:t>
      </w:r>
      <w:r w:rsidRPr="00D97EEA">
        <w:rPr>
          <w:sz w:val="20"/>
          <w:szCs w:val="20"/>
          <w:lang w:val="sv-SE"/>
        </w:rPr>
        <w:t>”) kan förlora en del av eller hela sin investering i obligationerna på grund av ett sådant säkerhetsintrång.</w:t>
      </w:r>
    </w:p>
    <w:p w14:paraId="576B24AC" w14:textId="77777777" w:rsidR="009D4A74" w:rsidRPr="00D97EEA" w:rsidRDefault="009D4A74" w:rsidP="009D4A74">
      <w:pPr>
        <w:pStyle w:val="Heading2"/>
        <w:numPr>
          <w:ilvl w:val="1"/>
          <w:numId w:val="42"/>
        </w:numPr>
        <w:tabs>
          <w:tab w:val="clear" w:pos="720"/>
        </w:tabs>
        <w:spacing w:after="60"/>
        <w:rPr>
          <w:b w:val="0"/>
          <w:sz w:val="20"/>
          <w:szCs w:val="20"/>
        </w:rPr>
      </w:pPr>
      <w:r w:rsidRPr="00D97EEA">
        <w:rPr>
          <w:sz w:val="20"/>
          <w:szCs w:val="20"/>
        </w:rPr>
        <w:t>NYCKELINFORMATION OM VÄRDEPAPPERNA</w:t>
      </w:r>
    </w:p>
    <w:p w14:paraId="446ABB97" w14:textId="7852C2F0" w:rsidR="009D4A74" w:rsidRPr="00D97EEA" w:rsidRDefault="009D4A74" w:rsidP="009D4A74">
      <w:pPr>
        <w:pStyle w:val="Heading3"/>
        <w:numPr>
          <w:ilvl w:val="2"/>
          <w:numId w:val="42"/>
        </w:numPr>
        <w:tabs>
          <w:tab w:val="clear" w:pos="1004"/>
          <w:tab w:val="num" w:pos="720"/>
        </w:tabs>
        <w:spacing w:after="60"/>
        <w:ind w:left="720"/>
        <w:rPr>
          <w:b/>
          <w:bCs/>
          <w:sz w:val="20"/>
          <w:szCs w:val="20"/>
          <w:lang w:val="sv-SE"/>
        </w:rPr>
      </w:pPr>
      <w:r w:rsidRPr="00D97EEA">
        <w:rPr>
          <w:b/>
          <w:bCs/>
          <w:sz w:val="20"/>
          <w:szCs w:val="20"/>
          <w:lang w:val="sv-SE"/>
        </w:rPr>
        <w:t xml:space="preserve">Vilka är värdepappernas </w:t>
      </w:r>
      <w:r w:rsidR="005B0359" w:rsidRPr="00D97EEA">
        <w:rPr>
          <w:b/>
          <w:bCs/>
          <w:sz w:val="20"/>
          <w:szCs w:val="20"/>
          <w:lang w:val="sv-SE"/>
        </w:rPr>
        <w:t>Huvudfunktioner</w:t>
      </w:r>
      <w:r w:rsidRPr="00D97EEA">
        <w:rPr>
          <w:b/>
          <w:bCs/>
          <w:sz w:val="20"/>
          <w:szCs w:val="20"/>
          <w:lang w:val="sv-SE"/>
        </w:rPr>
        <w:t>?</w:t>
      </w:r>
    </w:p>
    <w:p w14:paraId="7B6F9D13" w14:textId="542402DC" w:rsidR="00F00844" w:rsidRPr="00D97EEA" w:rsidRDefault="00F00844" w:rsidP="00F00844">
      <w:pPr>
        <w:pStyle w:val="wText1"/>
        <w:spacing w:after="60"/>
        <w:ind w:left="0"/>
        <w:rPr>
          <w:sz w:val="20"/>
          <w:szCs w:val="20"/>
          <w:lang w:val="sv-SE"/>
        </w:rPr>
      </w:pPr>
      <w:r w:rsidRPr="00D97EEA">
        <w:rPr>
          <w:sz w:val="20"/>
          <w:szCs w:val="20"/>
          <w:lang w:val="sv-SE"/>
        </w:rPr>
        <w:t xml:space="preserve">Obligationerna är säkrade obligationer. Obligationerna har inte en fast förfallodag. Obligationerna ger ingen ränta. Varje obligation representerar obligationsinnehavarens rätt att </w:t>
      </w:r>
      <w:proofErr w:type="spellStart"/>
      <w:r w:rsidR="005B0359" w:rsidRPr="00D97EEA">
        <w:rPr>
          <w:sz w:val="20"/>
          <w:szCs w:val="20"/>
          <w:lang w:val="sv-SE"/>
        </w:rPr>
        <w:t>käva</w:t>
      </w:r>
      <w:proofErr w:type="spellEnd"/>
      <w:r w:rsidR="005B0359" w:rsidRPr="00D97EEA">
        <w:rPr>
          <w:sz w:val="20"/>
          <w:szCs w:val="20"/>
          <w:lang w:val="sv-SE"/>
        </w:rPr>
        <w:t xml:space="preserve"> </w:t>
      </w:r>
      <w:r w:rsidRPr="00D97EEA">
        <w:rPr>
          <w:sz w:val="20"/>
          <w:szCs w:val="20"/>
          <w:lang w:val="sv-SE"/>
        </w:rPr>
        <w:t xml:space="preserve">från </w:t>
      </w:r>
      <w:proofErr w:type="spellStart"/>
      <w:r w:rsidRPr="00D97EEA">
        <w:rPr>
          <w:sz w:val="20"/>
          <w:szCs w:val="20"/>
          <w:lang w:val="sv-SE"/>
        </w:rPr>
        <w:t>emittenten</w:t>
      </w:r>
      <w:proofErr w:type="spellEnd"/>
      <w:r w:rsidRPr="00D97EEA">
        <w:rPr>
          <w:sz w:val="20"/>
          <w:szCs w:val="20"/>
          <w:lang w:val="sv-SE"/>
        </w:rPr>
        <w:t xml:space="preserve"> (a) leverans av </w:t>
      </w:r>
      <w:proofErr w:type="spellStart"/>
      <w:r w:rsidRPr="00D97EEA">
        <w:rPr>
          <w:sz w:val="20"/>
          <w:szCs w:val="20"/>
          <w:lang w:val="sv-SE"/>
        </w:rPr>
        <w:t>Ethereum</w:t>
      </w:r>
      <w:proofErr w:type="spellEnd"/>
      <w:r w:rsidRPr="00D97EEA">
        <w:rPr>
          <w:sz w:val="20"/>
          <w:szCs w:val="20"/>
          <w:lang w:val="sv-SE"/>
        </w:rPr>
        <w:t xml:space="preserve"> ("</w:t>
      </w:r>
      <w:r w:rsidRPr="00D97EEA">
        <w:rPr>
          <w:b/>
          <w:bCs/>
          <w:sz w:val="20"/>
          <w:szCs w:val="20"/>
          <w:lang w:val="sv-SE"/>
        </w:rPr>
        <w:t>ETH</w:t>
      </w:r>
      <w:r w:rsidRPr="00D97EEA">
        <w:rPr>
          <w:sz w:val="20"/>
          <w:szCs w:val="20"/>
          <w:lang w:val="sv-SE"/>
        </w:rPr>
        <w:t>" eller "</w:t>
      </w:r>
      <w:r w:rsidRPr="00D97EEA">
        <w:rPr>
          <w:b/>
          <w:bCs/>
          <w:sz w:val="20"/>
          <w:szCs w:val="20"/>
          <w:lang w:val="sv-SE"/>
        </w:rPr>
        <w:t>kryptovaluta</w:t>
      </w:r>
      <w:r w:rsidRPr="00D97EEA">
        <w:rPr>
          <w:sz w:val="20"/>
          <w:szCs w:val="20"/>
          <w:lang w:val="sv-SE"/>
        </w:rPr>
        <w:t xml:space="preserve">"), en kryptovaluta baserad på en öppen källkod, blockchain-baserad, decentraliserad mjukvaruplattform (även kallad Ethereum) och visas på </w:t>
      </w:r>
      <w:hyperlink r:id="rId11" w:tgtFrame="_new" w:history="1">
        <w:r w:rsidRPr="00D97EEA">
          <w:rPr>
            <w:rStyle w:val="Hyperlink"/>
            <w:sz w:val="20"/>
            <w:szCs w:val="20"/>
            <w:lang w:val="sv-SE"/>
          </w:rPr>
          <w:t>https://ethereum.org/en/eth</w:t>
        </w:r>
      </w:hyperlink>
      <w:r w:rsidRPr="00D97EEA">
        <w:rPr>
          <w:sz w:val="20"/>
          <w:szCs w:val="20"/>
          <w:lang w:val="sv-SE"/>
        </w:rPr>
        <w:t xml:space="preserve">, motsvarande obligationsinnehavarens fordran, för varje </w:t>
      </w:r>
      <w:r w:rsidR="005B0359" w:rsidRPr="00D97EEA">
        <w:rPr>
          <w:sz w:val="20"/>
          <w:szCs w:val="20"/>
          <w:lang w:val="sv-SE"/>
        </w:rPr>
        <w:t>Bankdag</w:t>
      </w:r>
      <w:r w:rsidRPr="00D97EEA">
        <w:rPr>
          <w:sz w:val="20"/>
          <w:szCs w:val="20"/>
          <w:lang w:val="sv-SE"/>
        </w:rPr>
        <w:t xml:space="preserve">, mot </w:t>
      </w:r>
      <w:proofErr w:type="spellStart"/>
      <w:r w:rsidRPr="00D97EEA">
        <w:rPr>
          <w:sz w:val="20"/>
          <w:szCs w:val="20"/>
          <w:lang w:val="sv-SE"/>
        </w:rPr>
        <w:t>emittenten</w:t>
      </w:r>
      <w:proofErr w:type="spellEnd"/>
      <w:r w:rsidRPr="00D97EEA">
        <w:rPr>
          <w:sz w:val="20"/>
          <w:szCs w:val="20"/>
          <w:lang w:val="sv-SE"/>
        </w:rPr>
        <w:t xml:space="preserve"> </w:t>
      </w:r>
      <w:r w:rsidR="005B0359" w:rsidRPr="00D97EEA">
        <w:rPr>
          <w:sz w:val="20"/>
          <w:szCs w:val="20"/>
          <w:lang w:val="sv-SE"/>
        </w:rPr>
        <w:t xml:space="preserve">avseende </w:t>
      </w:r>
      <w:r w:rsidRPr="00D97EEA">
        <w:rPr>
          <w:sz w:val="20"/>
          <w:szCs w:val="20"/>
          <w:lang w:val="sv-SE"/>
        </w:rPr>
        <w:t xml:space="preserve">varje obligation, uttryckt som </w:t>
      </w:r>
      <w:r w:rsidR="005B0359" w:rsidRPr="00D97EEA">
        <w:rPr>
          <w:sz w:val="20"/>
          <w:szCs w:val="20"/>
          <w:lang w:val="sv-SE"/>
        </w:rPr>
        <w:t xml:space="preserve">beloppet </w:t>
      </w:r>
      <w:r w:rsidRPr="00D97EEA">
        <w:rPr>
          <w:sz w:val="20"/>
          <w:szCs w:val="20"/>
          <w:lang w:val="sv-SE"/>
        </w:rPr>
        <w:t>av kryptovalutan per obligation, och beräkna</w:t>
      </w:r>
      <w:r w:rsidR="005B0359" w:rsidRPr="00D97EEA">
        <w:rPr>
          <w:sz w:val="20"/>
          <w:szCs w:val="20"/>
          <w:lang w:val="sv-SE"/>
        </w:rPr>
        <w:t>t</w:t>
      </w:r>
      <w:r w:rsidRPr="00D97EEA">
        <w:rPr>
          <w:sz w:val="20"/>
          <w:szCs w:val="20"/>
          <w:lang w:val="sv-SE"/>
        </w:rPr>
        <w:t xml:space="preserve"> av </w:t>
      </w:r>
      <w:proofErr w:type="spellStart"/>
      <w:r w:rsidRPr="00D97EEA">
        <w:rPr>
          <w:sz w:val="20"/>
          <w:szCs w:val="20"/>
          <w:lang w:val="sv-SE"/>
        </w:rPr>
        <w:t>emittenten</w:t>
      </w:r>
      <w:proofErr w:type="spellEnd"/>
      <w:r w:rsidRPr="00D97EEA">
        <w:rPr>
          <w:sz w:val="20"/>
          <w:szCs w:val="20"/>
          <w:lang w:val="sv-SE"/>
        </w:rPr>
        <w:t xml:space="preserve"> efter eget gottfinnande i enlighet med formeln nedan med hänvisning till </w:t>
      </w:r>
      <w:r w:rsidR="00A97A80" w:rsidRPr="00D97EEA">
        <w:rPr>
          <w:sz w:val="20"/>
          <w:szCs w:val="20"/>
          <w:lang w:val="sv-SE"/>
        </w:rPr>
        <w:t xml:space="preserve">Compass </w:t>
      </w:r>
      <w:proofErr w:type="spellStart"/>
      <w:r w:rsidR="00A97A80" w:rsidRPr="00D97EEA">
        <w:rPr>
          <w:sz w:val="20"/>
          <w:szCs w:val="20"/>
          <w:lang w:val="sv-SE"/>
        </w:rPr>
        <w:t>Crypto</w:t>
      </w:r>
      <w:proofErr w:type="spellEnd"/>
      <w:r w:rsidR="00A97A80" w:rsidRPr="00D97EEA">
        <w:rPr>
          <w:sz w:val="20"/>
          <w:szCs w:val="20"/>
          <w:lang w:val="sv-SE"/>
        </w:rPr>
        <w:t xml:space="preserve"> </w:t>
      </w:r>
      <w:proofErr w:type="spellStart"/>
      <w:r w:rsidR="00A97A80" w:rsidRPr="00D97EEA">
        <w:rPr>
          <w:sz w:val="20"/>
          <w:szCs w:val="20"/>
          <w:lang w:val="sv-SE"/>
        </w:rPr>
        <w:t>Reference</w:t>
      </w:r>
      <w:proofErr w:type="spellEnd"/>
      <w:r w:rsidR="00A97A80" w:rsidRPr="00D97EEA">
        <w:rPr>
          <w:sz w:val="20"/>
          <w:szCs w:val="20"/>
          <w:lang w:val="sv-SE"/>
        </w:rPr>
        <w:t xml:space="preserve"> Index </w:t>
      </w:r>
      <w:proofErr w:type="spellStart"/>
      <w:r w:rsidR="00A97A80" w:rsidRPr="00D97EEA">
        <w:rPr>
          <w:sz w:val="20"/>
          <w:szCs w:val="20"/>
          <w:lang w:val="sv-SE"/>
        </w:rPr>
        <w:t>Ethereum</w:t>
      </w:r>
      <w:proofErr w:type="spellEnd"/>
      <w:r w:rsidRPr="00D97EEA">
        <w:rPr>
          <w:sz w:val="20"/>
          <w:szCs w:val="20"/>
          <w:lang w:val="sv-SE"/>
        </w:rPr>
        <w:t xml:space="preserve"> (”</w:t>
      </w:r>
      <w:r w:rsidRPr="00D97EEA">
        <w:rPr>
          <w:b/>
          <w:bCs/>
          <w:sz w:val="20"/>
          <w:szCs w:val="20"/>
          <w:lang w:val="sv-SE"/>
        </w:rPr>
        <w:t>Indexet</w:t>
      </w:r>
      <w:r w:rsidRPr="00D97EEA">
        <w:rPr>
          <w:sz w:val="20"/>
          <w:szCs w:val="20"/>
          <w:lang w:val="sv-SE"/>
        </w:rPr>
        <w:t>”) (”</w:t>
      </w:r>
      <w:r w:rsidRPr="00D97EEA">
        <w:rPr>
          <w:i/>
          <w:iCs/>
          <w:sz w:val="20"/>
          <w:szCs w:val="20"/>
          <w:lang w:val="sv-SE"/>
        </w:rPr>
        <w:t>1.4.1. Metod för fastställande av emissionskursen</w:t>
      </w:r>
      <w:r w:rsidRPr="00D97EEA">
        <w:rPr>
          <w:sz w:val="20"/>
          <w:szCs w:val="20"/>
          <w:lang w:val="sv-SE"/>
        </w:rPr>
        <w:t>”) (”</w:t>
      </w:r>
      <w:r w:rsidR="0010140D" w:rsidRPr="00D97EEA">
        <w:rPr>
          <w:b/>
          <w:bCs/>
          <w:sz w:val="20"/>
          <w:szCs w:val="20"/>
          <w:lang w:val="sv-SE"/>
        </w:rPr>
        <w:t xml:space="preserve">rättighet </w:t>
      </w:r>
      <w:r w:rsidRPr="00D97EEA">
        <w:rPr>
          <w:b/>
          <w:bCs/>
          <w:sz w:val="20"/>
          <w:szCs w:val="20"/>
          <w:lang w:val="sv-SE"/>
        </w:rPr>
        <w:t>till kryptovaluta</w:t>
      </w:r>
      <w:r w:rsidRPr="00D97EEA">
        <w:rPr>
          <w:sz w:val="20"/>
          <w:szCs w:val="20"/>
          <w:lang w:val="sv-SE"/>
        </w:rPr>
        <w:t>”) eller (b) betalning av ett belopp i US-dollar ("</w:t>
      </w:r>
      <w:r w:rsidRPr="00D97EEA">
        <w:rPr>
          <w:b/>
          <w:bCs/>
          <w:sz w:val="20"/>
          <w:szCs w:val="20"/>
          <w:lang w:val="sv-SE"/>
        </w:rPr>
        <w:t>USD</w:t>
      </w:r>
      <w:r w:rsidRPr="00D97EEA">
        <w:rPr>
          <w:sz w:val="20"/>
          <w:szCs w:val="20"/>
          <w:lang w:val="sv-SE"/>
        </w:rPr>
        <w:t>") fastställt i enlighet med relevanta bestämmelser i villkoren ("</w:t>
      </w:r>
      <w:r w:rsidRPr="00D97EEA">
        <w:rPr>
          <w:b/>
          <w:bCs/>
          <w:sz w:val="20"/>
          <w:szCs w:val="20"/>
          <w:lang w:val="sv-SE"/>
        </w:rPr>
        <w:t>villkoren</w:t>
      </w:r>
      <w:r w:rsidRPr="00D97EEA">
        <w:rPr>
          <w:sz w:val="20"/>
          <w:szCs w:val="20"/>
          <w:lang w:val="sv-SE"/>
        </w:rPr>
        <w:t xml:space="preserve">"). Förpliktelserna som obligationerna medför utgör direkta, icke-efterställda och säkerställda förpliktelser för emittenten som </w:t>
      </w:r>
      <w:r w:rsidR="00594EAF" w:rsidRPr="00D97EEA">
        <w:rPr>
          <w:sz w:val="20"/>
          <w:szCs w:val="20"/>
          <w:lang w:val="sv-SE"/>
        </w:rPr>
        <w:t>rangordnas parallellt mellan</w:t>
      </w:r>
      <w:r w:rsidR="00594EAF" w:rsidRPr="00D97EEA" w:rsidDel="00594EAF">
        <w:rPr>
          <w:sz w:val="20"/>
          <w:szCs w:val="20"/>
          <w:lang w:val="sv-SE"/>
        </w:rPr>
        <w:t xml:space="preserve"> </w:t>
      </w:r>
      <w:r w:rsidRPr="00D97EEA">
        <w:rPr>
          <w:sz w:val="20"/>
          <w:szCs w:val="20"/>
          <w:lang w:val="sv-SE"/>
        </w:rPr>
        <w:t xml:space="preserve">(i) </w:t>
      </w:r>
      <w:r w:rsidR="00594EAF" w:rsidRPr="00D97EEA">
        <w:rPr>
          <w:sz w:val="20"/>
          <w:szCs w:val="20"/>
          <w:lang w:val="sv-SE"/>
        </w:rPr>
        <w:t>dem själva</w:t>
      </w:r>
      <w:r w:rsidRPr="00D97EEA">
        <w:rPr>
          <w:sz w:val="20"/>
          <w:szCs w:val="20"/>
          <w:lang w:val="sv-SE"/>
        </w:rPr>
        <w:t xml:space="preserve">, (ii) </w:t>
      </w:r>
      <w:r w:rsidR="00594EAF" w:rsidRPr="00D97EEA">
        <w:rPr>
          <w:sz w:val="20"/>
          <w:szCs w:val="20"/>
          <w:lang w:val="sv-SE"/>
        </w:rPr>
        <w:t xml:space="preserve">alla </w:t>
      </w:r>
      <w:r w:rsidRPr="00D97EEA">
        <w:rPr>
          <w:sz w:val="20"/>
          <w:szCs w:val="20"/>
          <w:lang w:val="sv-SE"/>
        </w:rPr>
        <w:t>säkerställda inlösningsförpliktelser och säkrade avräkningsförpliktelser (enligt definitionen nedan) ("</w:t>
      </w:r>
      <w:r w:rsidRPr="00D97EEA">
        <w:rPr>
          <w:i/>
          <w:iCs/>
          <w:sz w:val="20"/>
          <w:szCs w:val="20"/>
          <w:lang w:val="sv-SE"/>
        </w:rPr>
        <w:t xml:space="preserve">1.3.3. Risker i samband </w:t>
      </w:r>
      <w:r w:rsidR="00843F28" w:rsidRPr="00D97EEA">
        <w:rPr>
          <w:i/>
          <w:iCs/>
          <w:sz w:val="20"/>
          <w:szCs w:val="20"/>
          <w:lang w:val="sv-SE"/>
        </w:rPr>
        <w:t xml:space="preserve">till </w:t>
      </w:r>
      <w:r w:rsidRPr="00D97EEA">
        <w:rPr>
          <w:i/>
          <w:iCs/>
          <w:sz w:val="20"/>
          <w:szCs w:val="20"/>
          <w:lang w:val="sv-SE"/>
        </w:rPr>
        <w:t>frivilliga inlösen</w:t>
      </w:r>
      <w:r w:rsidRPr="00D97EEA">
        <w:rPr>
          <w:sz w:val="20"/>
          <w:szCs w:val="20"/>
          <w:lang w:val="sv-SE"/>
        </w:rPr>
        <w:t xml:space="preserve">") och (iii) </w:t>
      </w:r>
      <w:r w:rsidR="00843F28" w:rsidRPr="00D97EEA">
        <w:rPr>
          <w:sz w:val="20"/>
          <w:szCs w:val="20"/>
          <w:lang w:val="sv-SE"/>
        </w:rPr>
        <w:t xml:space="preserve">varje skyldighet för Emittenten att överföra Obligationer till en enhet som har utsetts av Emittenten som en auktoriserad deltagare </w:t>
      </w:r>
      <w:r w:rsidRPr="00D97EEA">
        <w:rPr>
          <w:sz w:val="20"/>
          <w:szCs w:val="20"/>
          <w:lang w:val="sv-SE"/>
        </w:rPr>
        <w:t>(”</w:t>
      </w:r>
      <w:r w:rsidRPr="00D97EEA">
        <w:rPr>
          <w:b/>
          <w:bCs/>
          <w:sz w:val="20"/>
          <w:szCs w:val="20"/>
          <w:lang w:val="sv-SE"/>
        </w:rPr>
        <w:t>auktoriserade deltagare</w:t>
      </w:r>
      <w:r w:rsidRPr="00D97EEA">
        <w:rPr>
          <w:sz w:val="20"/>
          <w:szCs w:val="20"/>
          <w:lang w:val="sv-SE"/>
        </w:rPr>
        <w:t xml:space="preserve">”) om en sådan auktoriserad deltagare har </w:t>
      </w:r>
      <w:r w:rsidR="00843F28" w:rsidRPr="00D97EEA">
        <w:rPr>
          <w:sz w:val="20"/>
          <w:szCs w:val="20"/>
          <w:lang w:val="sv-SE"/>
        </w:rPr>
        <w:t xml:space="preserve">överfört </w:t>
      </w:r>
      <w:r w:rsidRPr="00D97EEA">
        <w:rPr>
          <w:sz w:val="20"/>
          <w:szCs w:val="20"/>
          <w:lang w:val="sv-SE"/>
        </w:rPr>
        <w:t>minst den kryptovaluta</w:t>
      </w:r>
      <w:r w:rsidR="00843F28" w:rsidRPr="00D97EEA">
        <w:rPr>
          <w:sz w:val="20"/>
          <w:szCs w:val="20"/>
          <w:lang w:val="sv-SE"/>
        </w:rPr>
        <w:t>be</w:t>
      </w:r>
      <w:r w:rsidRPr="00D97EEA">
        <w:rPr>
          <w:sz w:val="20"/>
          <w:szCs w:val="20"/>
          <w:lang w:val="sv-SE"/>
        </w:rPr>
        <w:t>rätt</w:t>
      </w:r>
      <w:r w:rsidR="00843F28" w:rsidRPr="00D97EEA">
        <w:rPr>
          <w:sz w:val="20"/>
          <w:szCs w:val="20"/>
          <w:lang w:val="sv-SE"/>
        </w:rPr>
        <w:t>igande</w:t>
      </w:r>
      <w:r w:rsidRPr="00D97EEA">
        <w:rPr>
          <w:sz w:val="20"/>
          <w:szCs w:val="20"/>
          <w:lang w:val="sv-SE"/>
        </w:rPr>
        <w:t xml:space="preserve"> som gäller för varje obligation som tecknas eller köps till en plånboksfil som förvaltas av Zodia </w:t>
      </w:r>
      <w:proofErr w:type="spellStart"/>
      <w:r w:rsidRPr="00D97EEA">
        <w:rPr>
          <w:sz w:val="20"/>
          <w:szCs w:val="20"/>
          <w:lang w:val="sv-SE"/>
        </w:rPr>
        <w:t>Custody</w:t>
      </w:r>
      <w:proofErr w:type="spellEnd"/>
      <w:r w:rsidRPr="00D97EEA">
        <w:rPr>
          <w:sz w:val="20"/>
          <w:szCs w:val="20"/>
          <w:lang w:val="sv-SE"/>
        </w:rPr>
        <w:t xml:space="preserve"> (</w:t>
      </w:r>
      <w:proofErr w:type="spellStart"/>
      <w:r w:rsidRPr="00D97EEA">
        <w:rPr>
          <w:sz w:val="20"/>
          <w:szCs w:val="20"/>
          <w:lang w:val="sv-SE"/>
        </w:rPr>
        <w:t>Ireland</w:t>
      </w:r>
      <w:proofErr w:type="spellEnd"/>
      <w:r w:rsidRPr="00D97EEA">
        <w:rPr>
          <w:sz w:val="20"/>
          <w:szCs w:val="20"/>
          <w:lang w:val="sv-SE"/>
        </w:rPr>
        <w:t xml:space="preserve">) </w:t>
      </w:r>
      <w:proofErr w:type="spellStart"/>
      <w:r w:rsidRPr="00D97EEA">
        <w:rPr>
          <w:sz w:val="20"/>
          <w:szCs w:val="20"/>
          <w:lang w:val="sv-SE"/>
        </w:rPr>
        <w:t>Limited</w:t>
      </w:r>
      <w:proofErr w:type="spellEnd"/>
      <w:r w:rsidRPr="00D97EEA">
        <w:rPr>
          <w:sz w:val="20"/>
          <w:szCs w:val="20"/>
          <w:lang w:val="sv-SE"/>
        </w:rPr>
        <w:t xml:space="preserve"> (”</w:t>
      </w:r>
      <w:proofErr w:type="spellStart"/>
      <w:r w:rsidR="00843F28" w:rsidRPr="00D97EEA">
        <w:rPr>
          <w:b/>
          <w:bCs/>
          <w:sz w:val="20"/>
          <w:szCs w:val="20"/>
          <w:lang w:val="sv-SE"/>
        </w:rPr>
        <w:t>Depository</w:t>
      </w:r>
      <w:proofErr w:type="spellEnd"/>
      <w:r w:rsidR="00843F28" w:rsidRPr="00D97EEA">
        <w:rPr>
          <w:b/>
          <w:bCs/>
          <w:sz w:val="20"/>
          <w:szCs w:val="20"/>
          <w:lang w:val="sv-SE"/>
        </w:rPr>
        <w:t xml:space="preserve"> </w:t>
      </w:r>
      <w:proofErr w:type="spellStart"/>
      <w:r w:rsidR="00843F28" w:rsidRPr="00D97EEA">
        <w:rPr>
          <w:b/>
          <w:bCs/>
          <w:sz w:val="20"/>
          <w:szCs w:val="20"/>
          <w:lang w:val="sv-SE"/>
        </w:rPr>
        <w:t>Wallet</w:t>
      </w:r>
      <w:proofErr w:type="spellEnd"/>
      <w:r w:rsidRPr="00D97EEA">
        <w:rPr>
          <w:sz w:val="20"/>
          <w:szCs w:val="20"/>
          <w:lang w:val="sv-SE"/>
        </w:rPr>
        <w:t>” och, sådana förpliktelser, ”</w:t>
      </w:r>
      <w:r w:rsidRPr="00D97EEA">
        <w:rPr>
          <w:b/>
          <w:bCs/>
          <w:sz w:val="20"/>
          <w:szCs w:val="20"/>
          <w:lang w:val="sv-SE"/>
        </w:rPr>
        <w:t>säkrade avräkningsförpliktelser</w:t>
      </w:r>
      <w:r w:rsidRPr="00D97EEA">
        <w:rPr>
          <w:sz w:val="20"/>
          <w:szCs w:val="20"/>
          <w:lang w:val="sv-SE"/>
        </w:rPr>
        <w:t>”). Obligationerna är fritt överlåtbara.</w:t>
      </w:r>
    </w:p>
    <w:p w14:paraId="46588870" w14:textId="77777777" w:rsidR="009D4A74" w:rsidRPr="00D97EEA" w:rsidRDefault="009D4A74" w:rsidP="009D4A74">
      <w:pPr>
        <w:pStyle w:val="wText1"/>
        <w:keepNext/>
        <w:spacing w:after="60"/>
        <w:ind w:left="0"/>
        <w:rPr>
          <w:sz w:val="20"/>
          <w:szCs w:val="20"/>
          <w:lang w:val="sv-SE"/>
        </w:rPr>
      </w:pPr>
      <w:r w:rsidRPr="00D97EEA">
        <w:rPr>
          <w:sz w:val="20"/>
          <w:szCs w:val="20"/>
          <w:lang w:val="sv-SE"/>
        </w:rPr>
        <w:t>Följande rättigheter är knutna till obligationerna:</w:t>
      </w:r>
    </w:p>
    <w:p w14:paraId="4D76FCE4" w14:textId="6CFEB937" w:rsidR="009D4A74" w:rsidRPr="00D97EEA" w:rsidRDefault="009D4A74" w:rsidP="009D4A74">
      <w:pPr>
        <w:pStyle w:val="wText1"/>
        <w:keepNext/>
        <w:spacing w:after="60"/>
        <w:ind w:left="0"/>
        <w:rPr>
          <w:sz w:val="20"/>
          <w:szCs w:val="20"/>
          <w:lang w:val="sv-SE"/>
        </w:rPr>
      </w:pPr>
      <w:r w:rsidRPr="00D97EEA">
        <w:rPr>
          <w:b/>
          <w:i/>
          <w:sz w:val="20"/>
          <w:szCs w:val="20"/>
          <w:lang w:val="sv-SE"/>
        </w:rPr>
        <w:t>Säkerhet</w:t>
      </w:r>
      <w:r w:rsidRPr="00D97EEA">
        <w:rPr>
          <w:sz w:val="20"/>
          <w:szCs w:val="20"/>
          <w:lang w:val="sv-SE"/>
        </w:rPr>
        <w:t>: Emittentens utställande till förmån för obligationsinnehavarna av sina rättigheter, äganderätt, intresse</w:t>
      </w:r>
      <w:r w:rsidR="00C20617" w:rsidRPr="00D97EEA">
        <w:rPr>
          <w:sz w:val="20"/>
          <w:szCs w:val="20"/>
          <w:lang w:val="sv-SE"/>
        </w:rPr>
        <w:t xml:space="preserve"> </w:t>
      </w:r>
      <w:r w:rsidRPr="00D97EEA">
        <w:rPr>
          <w:sz w:val="20"/>
          <w:szCs w:val="20"/>
          <w:lang w:val="sv-SE"/>
        </w:rPr>
        <w:t>och förmån, nu och i framtiden, i plånboksfilen och insatt kryptovaluta samt utställande från emittentens sida av emissionskontot och av emittenten ägda obligationerna till förmån för obligationsinnehavarna (”</w:t>
      </w:r>
      <w:r w:rsidRPr="00D97EEA">
        <w:rPr>
          <w:b/>
          <w:bCs/>
          <w:sz w:val="20"/>
          <w:szCs w:val="20"/>
          <w:lang w:val="sv-SE"/>
        </w:rPr>
        <w:t>säkerheten</w:t>
      </w:r>
      <w:r w:rsidRPr="00D97EEA">
        <w:rPr>
          <w:sz w:val="20"/>
          <w:szCs w:val="20"/>
          <w:lang w:val="sv-SE"/>
        </w:rPr>
        <w:t>”). Närmare uppgifter om räkenskaper och villkor för respektive utställande ska anges i säkerhetsdokumenten som ska finnas tillgängliga för inspektion av obligationsinnehavarna på emittentens huvudsakliga verksamhetsställe (Gridiron, One Pancras Square, London, N1C 4 AG, Storbritannien).</w:t>
      </w:r>
    </w:p>
    <w:p w14:paraId="5F0ECF38" w14:textId="3F6EC808" w:rsidR="0066142D" w:rsidRPr="00D97EEA" w:rsidRDefault="0066142D" w:rsidP="0066142D">
      <w:pPr>
        <w:pStyle w:val="wText1"/>
        <w:keepNext/>
        <w:spacing w:after="60"/>
        <w:ind w:left="0"/>
        <w:rPr>
          <w:sz w:val="20"/>
          <w:szCs w:val="20"/>
          <w:lang w:val="sv-SE"/>
        </w:rPr>
      </w:pPr>
      <w:r w:rsidRPr="00D97EEA">
        <w:rPr>
          <w:b/>
          <w:bCs/>
          <w:i/>
          <w:iCs/>
          <w:sz w:val="20"/>
          <w:szCs w:val="20"/>
          <w:lang w:val="sv-SE"/>
        </w:rPr>
        <w:t>Staking:</w:t>
      </w:r>
      <w:r w:rsidRPr="00D97EEA">
        <w:rPr>
          <w:b/>
          <w:bCs/>
          <w:sz w:val="20"/>
          <w:szCs w:val="20"/>
          <w:lang w:val="sv-SE"/>
        </w:rPr>
        <w:t xml:space="preserve"> </w:t>
      </w:r>
      <w:r w:rsidRPr="00D97EEA">
        <w:rPr>
          <w:sz w:val="20"/>
          <w:szCs w:val="20"/>
          <w:lang w:val="sv-SE"/>
        </w:rPr>
        <w:t xml:space="preserve">Emittenten kan använda tjänster från en tjänsteleverantör </w:t>
      </w:r>
      <w:r w:rsidRPr="00D97EEA">
        <w:rPr>
          <w:i/>
          <w:iCs/>
          <w:sz w:val="20"/>
          <w:szCs w:val="20"/>
          <w:lang w:val="sv-SE"/>
        </w:rPr>
        <w:t>(”</w:t>
      </w:r>
      <w:proofErr w:type="spellStart"/>
      <w:r w:rsidRPr="00D97EEA">
        <w:rPr>
          <w:i/>
          <w:iCs/>
          <w:sz w:val="20"/>
          <w:szCs w:val="20"/>
          <w:lang w:val="sv-SE"/>
        </w:rPr>
        <w:t>Staking</w:t>
      </w:r>
      <w:proofErr w:type="spellEnd"/>
      <w:r w:rsidR="003661BA" w:rsidRPr="00D97EEA">
        <w:rPr>
          <w:i/>
          <w:iCs/>
          <w:sz w:val="20"/>
          <w:szCs w:val="20"/>
          <w:lang w:val="sv-SE"/>
        </w:rPr>
        <w:t xml:space="preserve"> </w:t>
      </w:r>
      <w:proofErr w:type="spellStart"/>
      <w:r w:rsidR="003661BA" w:rsidRPr="00D97EEA">
        <w:rPr>
          <w:i/>
          <w:iCs/>
          <w:sz w:val="20"/>
          <w:szCs w:val="20"/>
          <w:lang w:val="sv-SE"/>
        </w:rPr>
        <w:t>Provider</w:t>
      </w:r>
      <w:proofErr w:type="spellEnd"/>
      <w:r w:rsidRPr="00D97EEA">
        <w:rPr>
          <w:i/>
          <w:iCs/>
          <w:sz w:val="20"/>
          <w:szCs w:val="20"/>
          <w:lang w:val="sv-SE"/>
        </w:rPr>
        <w:t>”)</w:t>
      </w:r>
      <w:r w:rsidRPr="00D97EEA">
        <w:rPr>
          <w:sz w:val="20"/>
          <w:szCs w:val="20"/>
          <w:lang w:val="sv-SE"/>
        </w:rPr>
        <w:t xml:space="preserve"> för att använda några eller alla enheter av kryptovalutan som utgör en del av de deponerade kryptovalutorna för Staking. Eventuella enheter av kryptovalutan som erhålls som belöningar för denna process (</w:t>
      </w:r>
      <w:r w:rsidR="003661BA" w:rsidRPr="00D97EEA">
        <w:rPr>
          <w:sz w:val="20"/>
          <w:szCs w:val="20"/>
          <w:lang w:val="sv-SE"/>
        </w:rPr>
        <w:t xml:space="preserve">med förbehåll för </w:t>
      </w:r>
      <w:r w:rsidRPr="00D97EEA">
        <w:rPr>
          <w:sz w:val="20"/>
          <w:szCs w:val="20"/>
          <w:lang w:val="sv-SE"/>
        </w:rPr>
        <w:t>tillämpliga avgifter) kommer att utgöra en del av rätten till kryptovaluta.</w:t>
      </w:r>
    </w:p>
    <w:p w14:paraId="2E3CBB84" w14:textId="0A917A41" w:rsidR="0066142D" w:rsidRPr="00D97EEA" w:rsidRDefault="0066142D" w:rsidP="0066142D">
      <w:pPr>
        <w:pStyle w:val="wText1"/>
        <w:keepNext/>
        <w:spacing w:after="60"/>
        <w:ind w:left="0"/>
        <w:rPr>
          <w:sz w:val="20"/>
          <w:szCs w:val="20"/>
          <w:lang w:val="sv-SE"/>
        </w:rPr>
      </w:pPr>
      <w:r w:rsidRPr="00D97EEA">
        <w:rPr>
          <w:b/>
          <w:bCs/>
          <w:i/>
          <w:iCs/>
          <w:sz w:val="20"/>
          <w:szCs w:val="20"/>
          <w:lang w:val="sv-SE"/>
        </w:rPr>
        <w:t>Tvångsinlösen:</w:t>
      </w:r>
      <w:r w:rsidRPr="00D97EEA">
        <w:rPr>
          <w:sz w:val="20"/>
          <w:szCs w:val="20"/>
          <w:lang w:val="sv-SE"/>
        </w:rPr>
        <w:t xml:space="preserve"> Vid inträffande av vissa tvångsinlösenhändelser kan emittenten när som helst (men </w:t>
      </w:r>
      <w:r w:rsidR="003661BA" w:rsidRPr="00D97EEA">
        <w:rPr>
          <w:sz w:val="20"/>
          <w:szCs w:val="20"/>
          <w:lang w:val="sv-SE"/>
        </w:rPr>
        <w:t>är inte tvungen att</w:t>
      </w:r>
      <w:r w:rsidRPr="00D97EEA">
        <w:rPr>
          <w:sz w:val="20"/>
          <w:szCs w:val="20"/>
          <w:lang w:val="sv-SE"/>
        </w:rPr>
        <w:t>), ge meddelande till obligationsinnehavarna om den relevanta tvångsinlösenhändelsen (”</w:t>
      </w:r>
      <w:r w:rsidRPr="00D97EEA">
        <w:rPr>
          <w:b/>
          <w:bCs/>
          <w:sz w:val="20"/>
          <w:szCs w:val="20"/>
          <w:lang w:val="sv-SE"/>
        </w:rPr>
        <w:t>tvångsinlösenmeddelandet</w:t>
      </w:r>
      <w:r w:rsidRPr="00D97EEA">
        <w:rPr>
          <w:sz w:val="20"/>
          <w:szCs w:val="20"/>
          <w:lang w:val="sv-SE"/>
        </w:rPr>
        <w:t xml:space="preserve">”) och lösa in obligationerna vid tvångsinlösendagen som anges i tvångsinlösenmeddelandet till tvångsinlösenkursen (enligt definition nedan). </w:t>
      </w:r>
      <w:r w:rsidRPr="00D97EEA">
        <w:rPr>
          <w:sz w:val="20"/>
          <w:szCs w:val="20"/>
          <w:lang w:val="da-DK"/>
        </w:rPr>
        <w:t xml:space="preserve">Sådana tvångsinlösenhändelser innefattar bland annat händelser som gör att fortsatt emission av obligationer och/eller bibehållande av utestående obligationer </w:t>
      </w:r>
      <w:r w:rsidR="0075756B" w:rsidRPr="00D97EEA">
        <w:rPr>
          <w:sz w:val="20"/>
          <w:szCs w:val="20"/>
          <w:lang w:val="da-DK"/>
        </w:rPr>
        <w:t xml:space="preserve">inte är </w:t>
      </w:r>
      <w:proofErr w:type="spellStart"/>
      <w:r w:rsidRPr="00D97EEA">
        <w:rPr>
          <w:sz w:val="20"/>
          <w:szCs w:val="20"/>
          <w:lang w:val="da-DK"/>
        </w:rPr>
        <w:t>ekonomiskt</w:t>
      </w:r>
      <w:proofErr w:type="spellEnd"/>
      <w:r w:rsidRPr="00D97EEA">
        <w:rPr>
          <w:sz w:val="20"/>
          <w:szCs w:val="20"/>
          <w:lang w:val="da-DK"/>
        </w:rPr>
        <w:t xml:space="preserve"> eller </w:t>
      </w:r>
      <w:proofErr w:type="spellStart"/>
      <w:r w:rsidRPr="00D97EEA">
        <w:rPr>
          <w:sz w:val="20"/>
          <w:szCs w:val="20"/>
          <w:lang w:val="da-DK"/>
        </w:rPr>
        <w:t>praktiskt</w:t>
      </w:r>
      <w:proofErr w:type="spellEnd"/>
      <w:r w:rsidRPr="00D97EEA">
        <w:rPr>
          <w:sz w:val="20"/>
          <w:szCs w:val="20"/>
          <w:lang w:val="da-DK"/>
        </w:rPr>
        <w:t xml:space="preserve"> </w:t>
      </w:r>
      <w:proofErr w:type="spellStart"/>
      <w:r w:rsidRPr="00D97EEA">
        <w:rPr>
          <w:sz w:val="20"/>
          <w:szCs w:val="20"/>
          <w:lang w:val="da-DK"/>
        </w:rPr>
        <w:t>genomförbart</w:t>
      </w:r>
      <w:proofErr w:type="spellEnd"/>
      <w:r w:rsidRPr="00D97EEA">
        <w:rPr>
          <w:sz w:val="20"/>
          <w:szCs w:val="20"/>
          <w:lang w:val="da-DK"/>
        </w:rPr>
        <w:t xml:space="preserve">, </w:t>
      </w:r>
      <w:r w:rsidR="001901A3" w:rsidRPr="00D97EEA">
        <w:rPr>
          <w:sz w:val="20"/>
          <w:szCs w:val="20"/>
          <w:lang w:val="da-DK"/>
        </w:rPr>
        <w:t xml:space="preserve">bland </w:t>
      </w:r>
      <w:proofErr w:type="spellStart"/>
      <w:r w:rsidR="001901A3" w:rsidRPr="00D97EEA">
        <w:rPr>
          <w:sz w:val="20"/>
          <w:szCs w:val="20"/>
          <w:lang w:val="da-DK"/>
        </w:rPr>
        <w:t>annat</w:t>
      </w:r>
      <w:proofErr w:type="spellEnd"/>
      <w:r w:rsidR="001901A3" w:rsidRPr="00D97EEA">
        <w:rPr>
          <w:sz w:val="20"/>
          <w:szCs w:val="20"/>
          <w:lang w:val="da-DK"/>
        </w:rPr>
        <w:t xml:space="preserve"> </w:t>
      </w:r>
      <w:proofErr w:type="spellStart"/>
      <w:r w:rsidR="001901A3" w:rsidRPr="00D97EEA">
        <w:rPr>
          <w:sz w:val="20"/>
          <w:szCs w:val="20"/>
          <w:lang w:val="da-DK"/>
        </w:rPr>
        <w:t>ikraftträdande</w:t>
      </w:r>
      <w:proofErr w:type="spellEnd"/>
      <w:r w:rsidR="001901A3" w:rsidRPr="00D97EEA">
        <w:rPr>
          <w:sz w:val="20"/>
          <w:szCs w:val="20"/>
          <w:lang w:val="da-DK"/>
        </w:rPr>
        <w:t xml:space="preserve"> av </w:t>
      </w:r>
      <w:proofErr w:type="spellStart"/>
      <w:r w:rsidR="001901A3" w:rsidRPr="00D97EEA">
        <w:rPr>
          <w:sz w:val="20"/>
          <w:szCs w:val="20"/>
          <w:lang w:val="da-DK"/>
        </w:rPr>
        <w:t>någon</w:t>
      </w:r>
      <w:proofErr w:type="spellEnd"/>
      <w:r w:rsidR="001901A3" w:rsidRPr="00D97EEA">
        <w:rPr>
          <w:sz w:val="20"/>
          <w:szCs w:val="20"/>
          <w:lang w:val="da-DK"/>
        </w:rPr>
        <w:t xml:space="preserve"> </w:t>
      </w:r>
      <w:r w:rsidRPr="00D97EEA">
        <w:rPr>
          <w:sz w:val="20"/>
          <w:szCs w:val="20"/>
          <w:lang w:val="da-DK"/>
        </w:rPr>
        <w:t xml:space="preserve">ny lag eller </w:t>
      </w:r>
      <w:proofErr w:type="spellStart"/>
      <w:r w:rsidRPr="00D97EEA">
        <w:rPr>
          <w:sz w:val="20"/>
          <w:szCs w:val="20"/>
          <w:lang w:val="da-DK"/>
        </w:rPr>
        <w:t>förordning</w:t>
      </w:r>
      <w:proofErr w:type="spellEnd"/>
      <w:r w:rsidRPr="00D97EEA">
        <w:rPr>
          <w:sz w:val="20"/>
          <w:szCs w:val="20"/>
          <w:lang w:val="da-DK"/>
        </w:rPr>
        <w:t xml:space="preserve"> som kräver att emittenten erhåller </w:t>
      </w:r>
      <w:r w:rsidR="001901A3" w:rsidRPr="00D97EEA">
        <w:rPr>
          <w:sz w:val="20"/>
          <w:szCs w:val="20"/>
          <w:lang w:val="da-DK"/>
        </w:rPr>
        <w:t xml:space="preserve">någon </w:t>
      </w:r>
      <w:r w:rsidRPr="00D97EEA">
        <w:rPr>
          <w:sz w:val="20"/>
          <w:szCs w:val="20"/>
          <w:lang w:val="da-DK"/>
        </w:rPr>
        <w:t xml:space="preserve">licens för att kunna fullgöra sina förpliktelser enligt obligationerna; eller ändringar i skattebehandlingen av kryptovalutan; eller om emittenten har beordrats av en </w:t>
      </w:r>
      <w:r w:rsidRPr="00D97EEA">
        <w:rPr>
          <w:sz w:val="20"/>
          <w:szCs w:val="20"/>
          <w:lang w:val="da-DK"/>
        </w:rPr>
        <w:lastRenderedPageBreak/>
        <w:t xml:space="preserve">behörig domstol eller på annat sätt blivit skyldig att enligt lag </w:t>
      </w:r>
      <w:r w:rsidR="001901A3" w:rsidRPr="00D97EEA">
        <w:rPr>
          <w:sz w:val="20"/>
          <w:szCs w:val="20"/>
          <w:lang w:val="da-DK"/>
        </w:rPr>
        <w:t xml:space="preserve">att </w:t>
      </w:r>
      <w:r w:rsidRPr="00D97EEA">
        <w:rPr>
          <w:sz w:val="20"/>
          <w:szCs w:val="20"/>
          <w:lang w:val="da-DK"/>
        </w:rPr>
        <w:t>ordna med tvångsinlösen. Emittentens utövande av tvångsinlösenrätten leder oundvikligen till inlösen av obligationerna för obligationsinnehavarna.</w:t>
      </w:r>
    </w:p>
    <w:p w14:paraId="04AF5103" w14:textId="18C9F4DD" w:rsidR="0066142D" w:rsidRPr="00D97EEA" w:rsidRDefault="0066142D" w:rsidP="009D4A74">
      <w:pPr>
        <w:pStyle w:val="wText1"/>
        <w:keepNext/>
        <w:spacing w:after="60"/>
        <w:ind w:left="0"/>
        <w:rPr>
          <w:sz w:val="20"/>
          <w:szCs w:val="20"/>
          <w:lang w:val="sv-SE"/>
        </w:rPr>
      </w:pPr>
    </w:p>
    <w:p w14:paraId="2EA9C2AA" w14:textId="231A1735" w:rsidR="0066142D" w:rsidRPr="00D97EEA" w:rsidRDefault="0066142D" w:rsidP="0066142D">
      <w:pPr>
        <w:pStyle w:val="wText1"/>
        <w:keepNext/>
        <w:spacing w:after="60"/>
        <w:ind w:left="0"/>
        <w:rPr>
          <w:sz w:val="20"/>
          <w:szCs w:val="20"/>
          <w:lang w:val="sv-SE"/>
        </w:rPr>
      </w:pPr>
      <w:r w:rsidRPr="00D97EEA">
        <w:rPr>
          <w:b/>
          <w:bCs/>
          <w:i/>
          <w:iCs/>
          <w:sz w:val="20"/>
          <w:szCs w:val="20"/>
          <w:lang w:val="da-DK"/>
        </w:rPr>
        <w:t>Frivillig inlösen:</w:t>
      </w:r>
      <w:r w:rsidRPr="00D97EEA">
        <w:rPr>
          <w:sz w:val="20"/>
          <w:szCs w:val="20"/>
          <w:lang w:val="da-DK"/>
        </w:rPr>
        <w:t xml:space="preserve"> Obligationerna har </w:t>
      </w:r>
      <w:proofErr w:type="spellStart"/>
      <w:r w:rsidR="00764B25" w:rsidRPr="00D97EEA">
        <w:rPr>
          <w:sz w:val="20"/>
          <w:szCs w:val="20"/>
          <w:lang w:val="da-DK"/>
        </w:rPr>
        <w:t>inget</w:t>
      </w:r>
      <w:proofErr w:type="spellEnd"/>
      <w:r w:rsidR="00764B25" w:rsidRPr="00D97EEA">
        <w:rPr>
          <w:sz w:val="20"/>
          <w:szCs w:val="20"/>
          <w:lang w:val="da-DK"/>
        </w:rPr>
        <w:t xml:space="preserve"> fast </w:t>
      </w:r>
      <w:proofErr w:type="spellStart"/>
      <w:r w:rsidR="00764B25" w:rsidRPr="00D97EEA">
        <w:rPr>
          <w:sz w:val="20"/>
          <w:szCs w:val="20"/>
          <w:lang w:val="da-DK"/>
        </w:rPr>
        <w:t>förfallodatum</w:t>
      </w:r>
      <w:proofErr w:type="spellEnd"/>
      <w:r w:rsidRPr="00D97EEA">
        <w:rPr>
          <w:sz w:val="20"/>
          <w:szCs w:val="20"/>
          <w:lang w:val="da-DK"/>
        </w:rPr>
        <w:t xml:space="preserve">. Varje obligationsinnehavare kan dock kräva att emittenten </w:t>
      </w:r>
      <w:proofErr w:type="spellStart"/>
      <w:r w:rsidRPr="00D97EEA">
        <w:rPr>
          <w:sz w:val="20"/>
          <w:szCs w:val="20"/>
          <w:lang w:val="da-DK"/>
        </w:rPr>
        <w:t>löser</w:t>
      </w:r>
      <w:proofErr w:type="spellEnd"/>
      <w:r w:rsidRPr="00D97EEA">
        <w:rPr>
          <w:sz w:val="20"/>
          <w:szCs w:val="20"/>
          <w:lang w:val="da-DK"/>
        </w:rPr>
        <w:t xml:space="preserve"> in </w:t>
      </w:r>
      <w:proofErr w:type="spellStart"/>
      <w:r w:rsidR="00764B25" w:rsidRPr="00D97EEA">
        <w:rPr>
          <w:sz w:val="20"/>
          <w:szCs w:val="20"/>
          <w:lang w:val="da-DK"/>
        </w:rPr>
        <w:t>sina</w:t>
      </w:r>
      <w:proofErr w:type="spellEnd"/>
      <w:r w:rsidRPr="00D97EEA">
        <w:rPr>
          <w:sz w:val="20"/>
          <w:szCs w:val="20"/>
          <w:lang w:val="da-DK"/>
        </w:rPr>
        <w:t xml:space="preserve"> obligationer </w:t>
      </w:r>
      <w:proofErr w:type="spellStart"/>
      <w:r w:rsidRPr="00D97EEA">
        <w:rPr>
          <w:sz w:val="20"/>
          <w:szCs w:val="20"/>
          <w:lang w:val="da-DK"/>
        </w:rPr>
        <w:t>mot</w:t>
      </w:r>
      <w:proofErr w:type="spellEnd"/>
      <w:r w:rsidRPr="00D97EEA">
        <w:rPr>
          <w:sz w:val="20"/>
          <w:szCs w:val="20"/>
          <w:lang w:val="da-DK"/>
        </w:rPr>
        <w:t xml:space="preserve"> fysisk leverans av </w:t>
      </w:r>
      <w:proofErr w:type="spellStart"/>
      <w:r w:rsidR="00764B25" w:rsidRPr="00D97EEA">
        <w:rPr>
          <w:sz w:val="20"/>
          <w:szCs w:val="20"/>
          <w:lang w:val="da-DK"/>
        </w:rPr>
        <w:t>kryptovalutan</w:t>
      </w:r>
      <w:proofErr w:type="spellEnd"/>
      <w:r w:rsidR="00764B25" w:rsidRPr="00D97EEA">
        <w:rPr>
          <w:sz w:val="20"/>
          <w:szCs w:val="20"/>
          <w:lang w:val="da-DK"/>
        </w:rPr>
        <w:t xml:space="preserve"> eller</w:t>
      </w:r>
      <w:r w:rsidR="00764B25" w:rsidRPr="00D97EEA" w:rsidDel="00764B25">
        <w:rPr>
          <w:sz w:val="20"/>
          <w:szCs w:val="20"/>
          <w:lang w:val="da-DK"/>
        </w:rPr>
        <w:t xml:space="preserve"> </w:t>
      </w:r>
      <w:r w:rsidRPr="00D97EEA">
        <w:rPr>
          <w:sz w:val="20"/>
          <w:szCs w:val="20"/>
          <w:lang w:val="da-DK"/>
        </w:rPr>
        <w:t>(</w:t>
      </w:r>
      <w:r w:rsidR="00764B25" w:rsidRPr="00D97EEA">
        <w:rPr>
          <w:sz w:val="20"/>
          <w:szCs w:val="20"/>
          <w:lang w:val="da-DK"/>
        </w:rPr>
        <w:t>i</w:t>
      </w:r>
      <w:r w:rsidRPr="00D97EEA">
        <w:rPr>
          <w:sz w:val="20"/>
          <w:szCs w:val="20"/>
          <w:lang w:val="da-DK"/>
        </w:rPr>
        <w:t xml:space="preserve"> </w:t>
      </w:r>
      <w:proofErr w:type="spellStart"/>
      <w:r w:rsidRPr="00D97EEA">
        <w:rPr>
          <w:sz w:val="20"/>
          <w:szCs w:val="20"/>
          <w:lang w:val="da-DK"/>
        </w:rPr>
        <w:t>uppfylla</w:t>
      </w:r>
      <w:r w:rsidR="00764B25" w:rsidRPr="00D97EEA">
        <w:rPr>
          <w:sz w:val="20"/>
          <w:szCs w:val="20"/>
          <w:lang w:val="da-DK"/>
        </w:rPr>
        <w:t>ndet</w:t>
      </w:r>
      <w:proofErr w:type="spellEnd"/>
      <w:r w:rsidRPr="00D97EEA">
        <w:rPr>
          <w:sz w:val="20"/>
          <w:szCs w:val="20"/>
          <w:lang w:val="da-DK"/>
        </w:rPr>
        <w:t xml:space="preserve"> </w:t>
      </w:r>
      <w:r w:rsidR="00764B25" w:rsidRPr="00D97EEA">
        <w:rPr>
          <w:sz w:val="20"/>
          <w:szCs w:val="20"/>
          <w:lang w:val="da-DK"/>
        </w:rPr>
        <w:t xml:space="preserve">av </w:t>
      </w:r>
      <w:proofErr w:type="spellStart"/>
      <w:r w:rsidR="00764B25" w:rsidRPr="00D97EEA">
        <w:rPr>
          <w:sz w:val="20"/>
          <w:szCs w:val="20"/>
          <w:lang w:val="da-DK"/>
        </w:rPr>
        <w:t>dessa</w:t>
      </w:r>
      <w:proofErr w:type="spellEnd"/>
      <w:r w:rsidR="00764B25" w:rsidRPr="00D97EEA">
        <w:rPr>
          <w:sz w:val="20"/>
          <w:szCs w:val="20"/>
          <w:lang w:val="da-DK"/>
        </w:rPr>
        <w:t xml:space="preserve"> </w:t>
      </w:r>
      <w:r w:rsidRPr="00D97EEA">
        <w:rPr>
          <w:sz w:val="20"/>
          <w:szCs w:val="20"/>
          <w:lang w:val="da-DK"/>
        </w:rPr>
        <w:t>leveransanspråket på kryptovalutan) mot kontantbetalning i USD (”</w:t>
      </w:r>
      <w:r w:rsidRPr="00D97EEA">
        <w:rPr>
          <w:b/>
          <w:bCs/>
          <w:sz w:val="20"/>
          <w:szCs w:val="20"/>
          <w:lang w:val="da-DK"/>
        </w:rPr>
        <w:t>frivillig inlösen</w:t>
      </w:r>
      <w:r w:rsidRPr="00D97EEA">
        <w:rPr>
          <w:sz w:val="20"/>
          <w:szCs w:val="20"/>
          <w:lang w:val="da-DK"/>
        </w:rPr>
        <w:t xml:space="preserve">”). Om obligationer löses in mot kontantbetalning, kommer inlösenbeloppet att motsvara intäkterna </w:t>
      </w:r>
      <w:proofErr w:type="spellStart"/>
      <w:r w:rsidRPr="00D97EEA">
        <w:rPr>
          <w:sz w:val="20"/>
          <w:szCs w:val="20"/>
          <w:lang w:val="da-DK"/>
        </w:rPr>
        <w:t>från</w:t>
      </w:r>
      <w:proofErr w:type="spellEnd"/>
      <w:r w:rsidRPr="00D97EEA">
        <w:rPr>
          <w:sz w:val="20"/>
          <w:szCs w:val="20"/>
          <w:lang w:val="da-DK"/>
        </w:rPr>
        <w:t xml:space="preserve"> </w:t>
      </w:r>
      <w:proofErr w:type="spellStart"/>
      <w:r w:rsidRPr="00D97EEA">
        <w:rPr>
          <w:sz w:val="20"/>
          <w:szCs w:val="20"/>
          <w:lang w:val="da-DK"/>
        </w:rPr>
        <w:t>försäljningen</w:t>
      </w:r>
      <w:proofErr w:type="spellEnd"/>
      <w:r w:rsidRPr="00D97EEA">
        <w:rPr>
          <w:sz w:val="20"/>
          <w:szCs w:val="20"/>
          <w:lang w:val="da-DK"/>
        </w:rPr>
        <w:t xml:space="preserve"> av </w:t>
      </w:r>
      <w:proofErr w:type="spellStart"/>
      <w:r w:rsidRPr="00D97EEA">
        <w:rPr>
          <w:sz w:val="20"/>
          <w:szCs w:val="20"/>
          <w:lang w:val="da-DK"/>
        </w:rPr>
        <w:t>rätt</w:t>
      </w:r>
      <w:r w:rsidR="00A2184F" w:rsidRPr="00D97EEA">
        <w:rPr>
          <w:sz w:val="20"/>
          <w:szCs w:val="20"/>
          <w:lang w:val="da-DK"/>
        </w:rPr>
        <w:t>igheten</w:t>
      </w:r>
      <w:proofErr w:type="spellEnd"/>
      <w:r w:rsidRPr="00D97EEA">
        <w:rPr>
          <w:sz w:val="20"/>
          <w:szCs w:val="20"/>
          <w:lang w:val="da-DK"/>
        </w:rPr>
        <w:t xml:space="preserve"> till </w:t>
      </w:r>
      <w:proofErr w:type="spellStart"/>
      <w:r w:rsidRPr="00D97EEA">
        <w:rPr>
          <w:sz w:val="20"/>
          <w:szCs w:val="20"/>
          <w:lang w:val="da-DK"/>
        </w:rPr>
        <w:t>kryptovaluta</w:t>
      </w:r>
      <w:proofErr w:type="spellEnd"/>
      <w:r w:rsidRPr="00D97EEA">
        <w:rPr>
          <w:sz w:val="20"/>
          <w:szCs w:val="20"/>
          <w:lang w:val="da-DK"/>
        </w:rPr>
        <w:t xml:space="preserve"> enligt </w:t>
      </w:r>
      <w:proofErr w:type="spellStart"/>
      <w:r w:rsidR="00A2184F" w:rsidRPr="00D97EEA">
        <w:rPr>
          <w:sz w:val="20"/>
          <w:szCs w:val="20"/>
          <w:lang w:val="da-DK"/>
        </w:rPr>
        <w:t>Kryptovalutans</w:t>
      </w:r>
      <w:proofErr w:type="spellEnd"/>
      <w:r w:rsidR="00A2184F" w:rsidRPr="00D97EEA">
        <w:rPr>
          <w:sz w:val="20"/>
          <w:szCs w:val="20"/>
          <w:lang w:val="da-DK"/>
        </w:rPr>
        <w:t xml:space="preserve"> </w:t>
      </w:r>
      <w:proofErr w:type="spellStart"/>
      <w:r w:rsidR="00A2184F" w:rsidRPr="00D97EEA">
        <w:rPr>
          <w:sz w:val="20"/>
          <w:szCs w:val="20"/>
          <w:lang w:val="da-DK"/>
        </w:rPr>
        <w:t>Exekveringsprocedur</w:t>
      </w:r>
      <w:proofErr w:type="spellEnd"/>
      <w:r w:rsidR="00A2184F" w:rsidRPr="00D97EEA" w:rsidDel="00A2184F">
        <w:rPr>
          <w:sz w:val="20"/>
          <w:szCs w:val="20"/>
          <w:lang w:val="da-DK"/>
        </w:rPr>
        <w:t xml:space="preserve"> </w:t>
      </w:r>
      <w:r w:rsidRPr="00D97EEA">
        <w:rPr>
          <w:sz w:val="20"/>
          <w:szCs w:val="20"/>
          <w:lang w:val="da-DK"/>
        </w:rPr>
        <w:t xml:space="preserve">(enligt definitionen </w:t>
      </w:r>
      <w:proofErr w:type="spellStart"/>
      <w:r w:rsidRPr="00D97EEA">
        <w:rPr>
          <w:sz w:val="20"/>
          <w:szCs w:val="20"/>
          <w:lang w:val="da-DK"/>
        </w:rPr>
        <w:t>nedan</w:t>
      </w:r>
      <w:proofErr w:type="spellEnd"/>
      <w:r w:rsidRPr="00D97EEA">
        <w:rPr>
          <w:sz w:val="20"/>
          <w:szCs w:val="20"/>
          <w:lang w:val="da-DK"/>
        </w:rPr>
        <w:t xml:space="preserve">), i den </w:t>
      </w:r>
      <w:proofErr w:type="spellStart"/>
      <w:r w:rsidRPr="00D97EEA">
        <w:rPr>
          <w:sz w:val="20"/>
          <w:szCs w:val="20"/>
          <w:lang w:val="da-DK"/>
        </w:rPr>
        <w:t>utsträckning</w:t>
      </w:r>
      <w:proofErr w:type="spellEnd"/>
      <w:r w:rsidRPr="00D97EEA">
        <w:rPr>
          <w:sz w:val="20"/>
          <w:szCs w:val="20"/>
          <w:lang w:val="da-DK"/>
        </w:rPr>
        <w:t xml:space="preserve"> sådant </w:t>
      </w:r>
      <w:proofErr w:type="spellStart"/>
      <w:r w:rsidR="00A2184F" w:rsidRPr="00D97EEA">
        <w:rPr>
          <w:sz w:val="20"/>
          <w:szCs w:val="20"/>
          <w:lang w:val="da-DK"/>
        </w:rPr>
        <w:t>procedur</w:t>
      </w:r>
      <w:proofErr w:type="spellEnd"/>
      <w:r w:rsidR="00A2184F" w:rsidRPr="00D97EEA">
        <w:rPr>
          <w:sz w:val="20"/>
          <w:szCs w:val="20"/>
          <w:lang w:val="da-DK"/>
        </w:rPr>
        <w:t xml:space="preserve"> </w:t>
      </w:r>
      <w:proofErr w:type="spellStart"/>
      <w:r w:rsidRPr="00D97EEA">
        <w:rPr>
          <w:sz w:val="20"/>
          <w:szCs w:val="20"/>
          <w:lang w:val="da-DK"/>
        </w:rPr>
        <w:t>resulterar</w:t>
      </w:r>
      <w:proofErr w:type="spellEnd"/>
      <w:r w:rsidRPr="00D97EEA">
        <w:rPr>
          <w:sz w:val="20"/>
          <w:szCs w:val="20"/>
          <w:lang w:val="da-DK"/>
        </w:rPr>
        <w:t xml:space="preserve"> i en framgångsrik försäljning. För att avsluta sina obligationer måste obligationsinnehavaren (i) lämna in inlösenformuläret tillsammans med alla nödvändiga KYC-dokument, (ii) betala en </w:t>
      </w:r>
      <w:proofErr w:type="spellStart"/>
      <w:r w:rsidRPr="00D97EEA">
        <w:rPr>
          <w:sz w:val="20"/>
          <w:szCs w:val="20"/>
          <w:lang w:val="da-DK"/>
        </w:rPr>
        <w:t>förskottsinlösenavgift</w:t>
      </w:r>
      <w:proofErr w:type="spellEnd"/>
      <w:r w:rsidRPr="00D97EEA">
        <w:rPr>
          <w:sz w:val="20"/>
          <w:szCs w:val="20"/>
          <w:lang w:val="da-DK"/>
        </w:rPr>
        <w:t xml:space="preserve"> på 100,00 </w:t>
      </w:r>
      <w:r w:rsidR="002F0311">
        <w:rPr>
          <w:sz w:val="20"/>
          <w:szCs w:val="20"/>
          <w:lang w:val="da-DK"/>
        </w:rPr>
        <w:t>EUR</w:t>
      </w:r>
      <w:r w:rsidRPr="00D97EEA">
        <w:rPr>
          <w:sz w:val="20"/>
          <w:szCs w:val="20"/>
          <w:lang w:val="da-DK"/>
        </w:rPr>
        <w:t xml:space="preserve"> (som </w:t>
      </w:r>
      <w:proofErr w:type="spellStart"/>
      <w:r w:rsidRPr="00D97EEA">
        <w:rPr>
          <w:sz w:val="20"/>
          <w:szCs w:val="20"/>
          <w:lang w:val="da-DK"/>
        </w:rPr>
        <w:t>är</w:t>
      </w:r>
      <w:proofErr w:type="spellEnd"/>
      <w:r w:rsidRPr="00D97EEA">
        <w:rPr>
          <w:sz w:val="20"/>
          <w:szCs w:val="20"/>
          <w:lang w:val="da-DK"/>
        </w:rPr>
        <w:t xml:space="preserve"> </w:t>
      </w:r>
      <w:proofErr w:type="spellStart"/>
      <w:r w:rsidRPr="00D97EEA">
        <w:rPr>
          <w:sz w:val="20"/>
          <w:szCs w:val="20"/>
          <w:lang w:val="da-DK"/>
        </w:rPr>
        <w:t>föremål</w:t>
      </w:r>
      <w:proofErr w:type="spellEnd"/>
      <w:r w:rsidRPr="00D97EEA">
        <w:rPr>
          <w:sz w:val="20"/>
          <w:szCs w:val="20"/>
          <w:lang w:val="da-DK"/>
        </w:rPr>
        <w:t xml:space="preserve"> för vissa undantag) (”</w:t>
      </w:r>
      <w:r w:rsidRPr="00D97EEA">
        <w:rPr>
          <w:b/>
          <w:bCs/>
          <w:sz w:val="20"/>
          <w:szCs w:val="20"/>
          <w:lang w:val="da-DK"/>
        </w:rPr>
        <w:t>förskottsinlösenavgiften</w:t>
      </w:r>
      <w:r w:rsidRPr="00D97EEA">
        <w:rPr>
          <w:sz w:val="20"/>
          <w:szCs w:val="20"/>
          <w:lang w:val="da-DK"/>
        </w:rPr>
        <w:t xml:space="preserve">”) och (iii) </w:t>
      </w:r>
      <w:r w:rsidR="00A2184F" w:rsidRPr="00D97EEA">
        <w:rPr>
          <w:sz w:val="20"/>
          <w:szCs w:val="20"/>
          <w:lang w:val="da-DK"/>
        </w:rPr>
        <w:t xml:space="preserve">överföra de obligationer i förhållande till vilka rätten till frivillig inlösen utövades, till </w:t>
      </w:r>
      <w:proofErr w:type="spellStart"/>
      <w:r w:rsidR="00A2184F" w:rsidRPr="00D97EEA">
        <w:rPr>
          <w:sz w:val="20"/>
          <w:szCs w:val="20"/>
          <w:lang w:val="da-DK"/>
        </w:rPr>
        <w:t>Emissionskontot</w:t>
      </w:r>
      <w:proofErr w:type="spellEnd"/>
      <w:r w:rsidR="00A2184F" w:rsidRPr="00D97EEA">
        <w:rPr>
          <w:sz w:val="20"/>
          <w:szCs w:val="20"/>
          <w:lang w:val="da-DK"/>
        </w:rPr>
        <w:t xml:space="preserve"> </w:t>
      </w:r>
      <w:proofErr w:type="spellStart"/>
      <w:r w:rsidR="00A2184F" w:rsidRPr="00D97EEA">
        <w:rPr>
          <w:sz w:val="20"/>
          <w:szCs w:val="20"/>
          <w:lang w:val="da-DK"/>
        </w:rPr>
        <w:t>utan</w:t>
      </w:r>
      <w:proofErr w:type="spellEnd"/>
      <w:r w:rsidR="00A2184F" w:rsidRPr="00D97EEA">
        <w:rPr>
          <w:sz w:val="20"/>
          <w:szCs w:val="20"/>
          <w:lang w:val="da-DK"/>
        </w:rPr>
        <w:t xml:space="preserve"> </w:t>
      </w:r>
      <w:proofErr w:type="spellStart"/>
      <w:r w:rsidR="00A2184F" w:rsidRPr="00D97EEA">
        <w:rPr>
          <w:sz w:val="20"/>
          <w:szCs w:val="20"/>
          <w:lang w:val="da-DK"/>
        </w:rPr>
        <w:t>betalning</w:t>
      </w:r>
      <w:proofErr w:type="spellEnd"/>
      <w:r w:rsidR="00A2184F" w:rsidRPr="00D97EEA">
        <w:rPr>
          <w:sz w:val="20"/>
          <w:szCs w:val="20"/>
          <w:lang w:val="da-DK"/>
        </w:rPr>
        <w:t>.</w:t>
      </w:r>
      <w:r w:rsidRPr="00D97EEA">
        <w:rPr>
          <w:sz w:val="20"/>
          <w:szCs w:val="20"/>
          <w:lang w:val="da-DK"/>
        </w:rPr>
        <w:t xml:space="preserve"> Om en obligationsinnehavare utnyttjar sin rätt till frivillig inlösen gentemot emittenten eller gentemot en auktoriserad </w:t>
      </w:r>
      <w:proofErr w:type="spellStart"/>
      <w:r w:rsidRPr="00D97EEA">
        <w:rPr>
          <w:sz w:val="20"/>
          <w:szCs w:val="20"/>
          <w:lang w:val="da-DK"/>
        </w:rPr>
        <w:t>deltagare</w:t>
      </w:r>
      <w:proofErr w:type="spellEnd"/>
      <w:r w:rsidRPr="00D97EEA">
        <w:rPr>
          <w:sz w:val="20"/>
          <w:szCs w:val="20"/>
          <w:lang w:val="da-DK"/>
        </w:rPr>
        <w:t xml:space="preserve"> kommer en </w:t>
      </w:r>
      <w:proofErr w:type="spellStart"/>
      <w:r w:rsidRPr="00D97EEA">
        <w:rPr>
          <w:sz w:val="20"/>
          <w:szCs w:val="20"/>
          <w:lang w:val="da-DK"/>
        </w:rPr>
        <w:t>avgift</w:t>
      </w:r>
      <w:proofErr w:type="spellEnd"/>
      <w:r w:rsidRPr="00D97EEA">
        <w:rPr>
          <w:sz w:val="20"/>
          <w:szCs w:val="20"/>
          <w:lang w:val="da-DK"/>
        </w:rPr>
        <w:t xml:space="preserve"> </w:t>
      </w:r>
      <w:proofErr w:type="spellStart"/>
      <w:r w:rsidRPr="00D97EEA">
        <w:rPr>
          <w:sz w:val="20"/>
          <w:szCs w:val="20"/>
          <w:lang w:val="da-DK"/>
        </w:rPr>
        <w:t>utöver</w:t>
      </w:r>
      <w:proofErr w:type="spellEnd"/>
      <w:r w:rsidRPr="00D97EEA">
        <w:rPr>
          <w:sz w:val="20"/>
          <w:szCs w:val="20"/>
          <w:lang w:val="da-DK"/>
        </w:rPr>
        <w:t xml:space="preserve"> </w:t>
      </w:r>
      <w:proofErr w:type="spellStart"/>
      <w:r w:rsidRPr="00D97EEA">
        <w:rPr>
          <w:sz w:val="20"/>
          <w:szCs w:val="20"/>
          <w:lang w:val="da-DK"/>
        </w:rPr>
        <w:t>förskottsinlösenavgiften</w:t>
      </w:r>
      <w:proofErr w:type="spellEnd"/>
      <w:r w:rsidRPr="00D97EEA">
        <w:rPr>
          <w:sz w:val="20"/>
          <w:szCs w:val="20"/>
          <w:lang w:val="da-DK"/>
        </w:rPr>
        <w:t xml:space="preserve"> (</w:t>
      </w:r>
      <w:proofErr w:type="spellStart"/>
      <w:r w:rsidR="00A2184F" w:rsidRPr="00D97EEA">
        <w:rPr>
          <w:sz w:val="20"/>
          <w:szCs w:val="20"/>
          <w:lang w:val="da-DK"/>
        </w:rPr>
        <w:t>där</w:t>
      </w:r>
      <w:proofErr w:type="spellEnd"/>
      <w:r w:rsidR="00A2184F" w:rsidRPr="00D97EEA">
        <w:rPr>
          <w:sz w:val="20"/>
          <w:szCs w:val="20"/>
          <w:lang w:val="da-DK"/>
        </w:rPr>
        <w:t xml:space="preserve"> </w:t>
      </w:r>
      <w:proofErr w:type="spellStart"/>
      <w:r w:rsidR="00A2184F" w:rsidRPr="00D97EEA">
        <w:rPr>
          <w:sz w:val="20"/>
          <w:szCs w:val="20"/>
          <w:lang w:val="da-DK"/>
        </w:rPr>
        <w:t>tillämpligt</w:t>
      </w:r>
      <w:proofErr w:type="spellEnd"/>
      <w:r w:rsidRPr="00D97EEA">
        <w:rPr>
          <w:sz w:val="20"/>
          <w:szCs w:val="20"/>
          <w:lang w:val="da-DK"/>
        </w:rPr>
        <w:t xml:space="preserve">) till </w:t>
      </w:r>
      <w:proofErr w:type="spellStart"/>
      <w:r w:rsidRPr="00D97EEA">
        <w:rPr>
          <w:sz w:val="20"/>
          <w:szCs w:val="20"/>
          <w:lang w:val="da-DK"/>
        </w:rPr>
        <w:t>ett</w:t>
      </w:r>
      <w:proofErr w:type="spellEnd"/>
      <w:r w:rsidRPr="00D97EEA">
        <w:rPr>
          <w:sz w:val="20"/>
          <w:szCs w:val="20"/>
          <w:lang w:val="da-DK"/>
        </w:rPr>
        <w:t xml:space="preserve"> </w:t>
      </w:r>
      <w:proofErr w:type="spellStart"/>
      <w:r w:rsidRPr="00D97EEA">
        <w:rPr>
          <w:sz w:val="20"/>
          <w:szCs w:val="20"/>
          <w:lang w:val="da-DK"/>
        </w:rPr>
        <w:t>belopp</w:t>
      </w:r>
      <w:proofErr w:type="spellEnd"/>
      <w:r w:rsidRPr="00D97EEA">
        <w:rPr>
          <w:sz w:val="20"/>
          <w:szCs w:val="20"/>
          <w:lang w:val="da-DK"/>
        </w:rPr>
        <w:t xml:space="preserve"> </w:t>
      </w:r>
      <w:proofErr w:type="spellStart"/>
      <w:r w:rsidR="006560FF" w:rsidRPr="00D97EEA">
        <w:rPr>
          <w:sz w:val="20"/>
          <w:szCs w:val="20"/>
          <w:lang w:val="da-DK"/>
        </w:rPr>
        <w:t>motsvarande</w:t>
      </w:r>
      <w:proofErr w:type="spellEnd"/>
      <w:r w:rsidR="006560FF" w:rsidRPr="00D97EEA">
        <w:rPr>
          <w:sz w:val="20"/>
          <w:szCs w:val="20"/>
          <w:lang w:val="da-DK"/>
        </w:rPr>
        <w:t xml:space="preserve"> </w:t>
      </w:r>
      <w:r w:rsidRPr="00D97EEA">
        <w:rPr>
          <w:sz w:val="20"/>
          <w:szCs w:val="20"/>
          <w:lang w:val="da-DK"/>
        </w:rPr>
        <w:t xml:space="preserve">2,50 procent av </w:t>
      </w:r>
      <w:proofErr w:type="spellStart"/>
      <w:r w:rsidRPr="00D97EEA">
        <w:rPr>
          <w:sz w:val="20"/>
          <w:szCs w:val="20"/>
          <w:lang w:val="da-DK"/>
        </w:rPr>
        <w:t>rätten</w:t>
      </w:r>
      <w:proofErr w:type="spellEnd"/>
      <w:r w:rsidRPr="00D97EEA">
        <w:rPr>
          <w:sz w:val="20"/>
          <w:szCs w:val="20"/>
          <w:lang w:val="da-DK"/>
        </w:rPr>
        <w:t xml:space="preserve"> till kryptovaluta</w:t>
      </w:r>
      <w:r w:rsidR="00721F8C" w:rsidRPr="00D97EEA">
        <w:rPr>
          <w:sz w:val="20"/>
          <w:szCs w:val="20"/>
          <w:lang w:val="da-DK"/>
        </w:rPr>
        <w:t>n</w:t>
      </w:r>
      <w:r w:rsidRPr="00D97EEA">
        <w:rPr>
          <w:sz w:val="20"/>
          <w:szCs w:val="20"/>
          <w:lang w:val="da-DK"/>
        </w:rPr>
        <w:t xml:space="preserve"> för varje obligation för vilken rätten till frivillig inlösen </w:t>
      </w:r>
      <w:proofErr w:type="spellStart"/>
      <w:r w:rsidRPr="00D97EEA">
        <w:rPr>
          <w:sz w:val="20"/>
          <w:szCs w:val="20"/>
          <w:lang w:val="da-DK"/>
        </w:rPr>
        <w:t>utnyttjas</w:t>
      </w:r>
      <w:proofErr w:type="spellEnd"/>
      <w:r w:rsidRPr="00D97EEA">
        <w:rPr>
          <w:sz w:val="20"/>
          <w:szCs w:val="20"/>
          <w:lang w:val="da-DK"/>
        </w:rPr>
        <w:t xml:space="preserve"> </w:t>
      </w:r>
      <w:proofErr w:type="spellStart"/>
      <w:r w:rsidRPr="00D97EEA">
        <w:rPr>
          <w:sz w:val="20"/>
          <w:szCs w:val="20"/>
          <w:lang w:val="da-DK"/>
        </w:rPr>
        <w:t>att</w:t>
      </w:r>
      <w:proofErr w:type="spellEnd"/>
      <w:r w:rsidRPr="00D97EEA">
        <w:rPr>
          <w:sz w:val="20"/>
          <w:szCs w:val="20"/>
          <w:lang w:val="da-DK"/>
        </w:rPr>
        <w:t xml:space="preserve"> </w:t>
      </w:r>
      <w:proofErr w:type="spellStart"/>
      <w:r w:rsidRPr="00D97EEA">
        <w:rPr>
          <w:sz w:val="20"/>
          <w:szCs w:val="20"/>
          <w:lang w:val="da-DK"/>
        </w:rPr>
        <w:t>debiteras</w:t>
      </w:r>
      <w:proofErr w:type="spellEnd"/>
      <w:r w:rsidRPr="00D97EEA">
        <w:rPr>
          <w:sz w:val="20"/>
          <w:szCs w:val="20"/>
          <w:lang w:val="da-DK"/>
        </w:rPr>
        <w:t xml:space="preserve"> (”</w:t>
      </w:r>
      <w:proofErr w:type="spellStart"/>
      <w:r w:rsidRPr="00D97EEA">
        <w:rPr>
          <w:b/>
          <w:bCs/>
          <w:sz w:val="20"/>
          <w:szCs w:val="20"/>
          <w:lang w:val="da-DK"/>
        </w:rPr>
        <w:t>lösenavgift</w:t>
      </w:r>
      <w:proofErr w:type="spellEnd"/>
      <w:r w:rsidRPr="00D97EEA">
        <w:rPr>
          <w:sz w:val="20"/>
          <w:szCs w:val="20"/>
          <w:lang w:val="da-DK"/>
        </w:rPr>
        <w:t>”). Om obligationsinnehavaren säljer sina obligationer på börsen kommer dock inga inlösenavgifter från emittenten eller den auktoriserade deltagaren att tillkomma. Om en obligationsinnehavare utnyttjar sin rätt till frivillig inlösen och väljer kontant</w:t>
      </w:r>
      <w:r w:rsidR="006560FF" w:rsidRPr="00D97EEA">
        <w:rPr>
          <w:sz w:val="20"/>
          <w:szCs w:val="20"/>
          <w:lang w:val="da-DK"/>
        </w:rPr>
        <w:t xml:space="preserve"> </w:t>
      </w:r>
      <w:r w:rsidRPr="00D97EEA">
        <w:rPr>
          <w:sz w:val="20"/>
          <w:szCs w:val="20"/>
          <w:lang w:val="da-DK"/>
        </w:rPr>
        <w:t>inlösen, kommer emittenten att instruera en exekveringsagent att sälja kryptovaluta i ett belopp motsvarande rätten till kryptovaluta (”</w:t>
      </w:r>
      <w:r w:rsidRPr="00D97EEA">
        <w:rPr>
          <w:b/>
          <w:bCs/>
          <w:sz w:val="20"/>
          <w:szCs w:val="20"/>
          <w:lang w:val="da-DK"/>
        </w:rPr>
        <w:t>kryptovalutaexekveringsförfarandet</w:t>
      </w:r>
      <w:r w:rsidRPr="00D97EEA">
        <w:rPr>
          <w:sz w:val="20"/>
          <w:szCs w:val="20"/>
          <w:lang w:val="da-DK"/>
        </w:rPr>
        <w:t xml:space="preserve">”). Försäljningsintäkterna från kryptovalutaexekveringsförfarandet (minus eventuella tillämpliga avgifter i samband med försäljningen av enheterna av kryptovalutan och överföringen av kontantbeloppet) kommer </w:t>
      </w:r>
      <w:r w:rsidR="007E0C6F" w:rsidRPr="00D97EEA">
        <w:rPr>
          <w:sz w:val="20"/>
          <w:szCs w:val="20"/>
          <w:lang w:val="da-DK"/>
        </w:rPr>
        <w:t xml:space="preserve">att </w:t>
      </w:r>
      <w:r w:rsidRPr="00D97EEA">
        <w:rPr>
          <w:sz w:val="20"/>
          <w:szCs w:val="20"/>
          <w:lang w:val="da-DK"/>
        </w:rPr>
        <w:t xml:space="preserve">användas för inlösen av obligationerna. Emittenten kan välja att ta ut en lösenavgift </w:t>
      </w:r>
      <w:proofErr w:type="gramStart"/>
      <w:r w:rsidRPr="00D97EEA">
        <w:rPr>
          <w:sz w:val="20"/>
          <w:szCs w:val="20"/>
          <w:lang w:val="da-DK"/>
        </w:rPr>
        <w:t>av</w:t>
      </w:r>
      <w:proofErr w:type="gramEnd"/>
      <w:r w:rsidRPr="00D97EEA">
        <w:rPr>
          <w:sz w:val="20"/>
          <w:szCs w:val="20"/>
          <w:lang w:val="da-DK"/>
        </w:rPr>
        <w:t xml:space="preserve"> respektive obligationsinnehavare även vid </w:t>
      </w:r>
      <w:r w:rsidR="007E0C6F" w:rsidRPr="00D97EEA">
        <w:rPr>
          <w:sz w:val="20"/>
          <w:szCs w:val="20"/>
          <w:lang w:val="da-DK"/>
        </w:rPr>
        <w:t xml:space="preserve">ett </w:t>
      </w:r>
      <w:r w:rsidRPr="00D97EEA">
        <w:rPr>
          <w:sz w:val="20"/>
          <w:szCs w:val="20"/>
          <w:lang w:val="da-DK"/>
        </w:rPr>
        <w:t>delvis och helt misslyckad kryptovalutaexekveringsförfarande.</w:t>
      </w:r>
    </w:p>
    <w:p w14:paraId="02BDE356" w14:textId="77777777" w:rsidR="009D4A74" w:rsidRPr="00D97EEA" w:rsidRDefault="009D4A74" w:rsidP="009D4A74">
      <w:pPr>
        <w:pStyle w:val="wText1"/>
        <w:keepNext/>
        <w:spacing w:after="60"/>
        <w:ind w:left="0"/>
        <w:rPr>
          <w:sz w:val="20"/>
          <w:szCs w:val="20"/>
          <w:lang w:val="sv-SE"/>
        </w:rPr>
      </w:pPr>
      <w:r w:rsidRPr="00D97EEA">
        <w:rPr>
          <w:b/>
          <w:i/>
          <w:sz w:val="20"/>
          <w:szCs w:val="20"/>
          <w:lang w:val="sv-SE"/>
        </w:rPr>
        <w:t>Inlösen i händelse av fallissemang</w:t>
      </w:r>
      <w:r w:rsidRPr="00D97EEA">
        <w:rPr>
          <w:b/>
          <w:sz w:val="20"/>
          <w:szCs w:val="20"/>
          <w:lang w:val="sv-SE"/>
        </w:rPr>
        <w:t xml:space="preserve">: </w:t>
      </w:r>
      <w:r w:rsidRPr="00D97EEA">
        <w:rPr>
          <w:sz w:val="20"/>
          <w:szCs w:val="20"/>
          <w:lang w:val="sv-SE"/>
        </w:rPr>
        <w:t>Obligationerna ger i händelse av fallissemang varje obligationsinnehavare rätt att kräva omedelbar inlösen av rätten till kryptovaluta.</w:t>
      </w:r>
    </w:p>
    <w:p w14:paraId="317B6D2A" w14:textId="68E4DE91" w:rsidR="0066142D" w:rsidRPr="00D97EEA" w:rsidRDefault="0066142D" w:rsidP="0066142D">
      <w:pPr>
        <w:pStyle w:val="wText1"/>
        <w:keepNext/>
        <w:spacing w:after="60"/>
        <w:ind w:left="0"/>
        <w:rPr>
          <w:sz w:val="20"/>
          <w:szCs w:val="20"/>
          <w:lang w:val="sv-SE"/>
        </w:rPr>
      </w:pPr>
      <w:r w:rsidRPr="00D97EEA">
        <w:rPr>
          <w:b/>
          <w:bCs/>
          <w:i/>
          <w:iCs/>
          <w:sz w:val="20"/>
          <w:szCs w:val="20"/>
          <w:lang w:val="sv-SE"/>
        </w:rPr>
        <w:t>Justeringar av rätten till kryptovaluta</w:t>
      </w:r>
      <w:r w:rsidRPr="00D97EEA">
        <w:rPr>
          <w:sz w:val="20"/>
          <w:szCs w:val="20"/>
          <w:lang w:val="sv-SE"/>
        </w:rPr>
        <w:t>: Vid inträffande</w:t>
      </w:r>
      <w:r w:rsidR="00946FBB" w:rsidRPr="00D97EEA">
        <w:rPr>
          <w:sz w:val="20"/>
          <w:szCs w:val="20"/>
          <w:lang w:val="sv-SE"/>
        </w:rPr>
        <w:t>t</w:t>
      </w:r>
      <w:r w:rsidRPr="00D97EEA">
        <w:rPr>
          <w:sz w:val="20"/>
          <w:szCs w:val="20"/>
          <w:lang w:val="sv-SE"/>
        </w:rPr>
        <w:t xml:space="preserve"> av vissa händelser som påverkar den underliggande kryptovalutan och/eller rätten till kryptovaluta</w:t>
      </w:r>
      <w:r w:rsidR="00946FBB" w:rsidRPr="00D97EEA">
        <w:rPr>
          <w:sz w:val="20"/>
          <w:szCs w:val="20"/>
          <w:lang w:val="sv-SE"/>
        </w:rPr>
        <w:t>n</w:t>
      </w:r>
      <w:r w:rsidRPr="00D97EEA">
        <w:rPr>
          <w:sz w:val="20"/>
          <w:szCs w:val="20"/>
          <w:lang w:val="sv-SE"/>
        </w:rPr>
        <w:t xml:space="preserve"> (var och en, en "</w:t>
      </w:r>
      <w:r w:rsidRPr="00D97EEA">
        <w:rPr>
          <w:b/>
          <w:bCs/>
          <w:sz w:val="20"/>
          <w:szCs w:val="20"/>
          <w:lang w:val="sv-SE"/>
        </w:rPr>
        <w:t>justeringshändelse</w:t>
      </w:r>
      <w:r w:rsidRPr="00D97EEA">
        <w:rPr>
          <w:sz w:val="20"/>
          <w:szCs w:val="20"/>
          <w:lang w:val="sv-SE"/>
        </w:rPr>
        <w:t>"), ska emittenten göra justeringar av kryptovalutan eller rätten till kryptovaluta</w:t>
      </w:r>
      <w:r w:rsidR="00946FBB" w:rsidRPr="00D97EEA">
        <w:rPr>
          <w:sz w:val="20"/>
          <w:szCs w:val="20"/>
          <w:lang w:val="sv-SE"/>
        </w:rPr>
        <w:t>n</w:t>
      </w:r>
      <w:r w:rsidRPr="00D97EEA">
        <w:rPr>
          <w:sz w:val="20"/>
          <w:szCs w:val="20"/>
          <w:lang w:val="sv-SE"/>
        </w:rPr>
        <w:t>, avbryta</w:t>
      </w:r>
      <w:r w:rsidR="00946FBB" w:rsidRPr="00D97EEA">
        <w:rPr>
          <w:sz w:val="20"/>
          <w:szCs w:val="20"/>
          <w:lang w:val="sv-SE"/>
        </w:rPr>
        <w:t xml:space="preserve"> de</w:t>
      </w:r>
      <w:r w:rsidRPr="00D97EEA">
        <w:rPr>
          <w:sz w:val="20"/>
          <w:szCs w:val="20"/>
          <w:lang w:val="sv-SE"/>
        </w:rPr>
        <w:t xml:space="preserve"> schemalagda </w:t>
      </w:r>
      <w:proofErr w:type="spellStart"/>
      <w:r w:rsidR="00946FBB" w:rsidRPr="00D97EEA">
        <w:rPr>
          <w:sz w:val="20"/>
          <w:szCs w:val="20"/>
          <w:lang w:val="sv-SE"/>
        </w:rPr>
        <w:t>ombalanseringarna</w:t>
      </w:r>
      <w:proofErr w:type="spellEnd"/>
      <w:r w:rsidR="00946FBB" w:rsidRPr="00D97EEA">
        <w:rPr>
          <w:sz w:val="20"/>
          <w:szCs w:val="20"/>
          <w:lang w:val="sv-SE"/>
        </w:rPr>
        <w:t xml:space="preserve"> </w:t>
      </w:r>
      <w:r w:rsidRPr="00D97EEA">
        <w:rPr>
          <w:sz w:val="20"/>
          <w:szCs w:val="20"/>
          <w:lang w:val="sv-SE"/>
        </w:rPr>
        <w:t xml:space="preserve">av indexet, eller ersätta det relevanta underliggande indexet med ett liknande nytt index, i varje fall om och i den utsträckning det anses nödvändigt enligt dess uppfattning. </w:t>
      </w:r>
    </w:p>
    <w:p w14:paraId="6F6FC2C4" w14:textId="7D02C2BA" w:rsidR="0066142D" w:rsidRPr="00D97EEA" w:rsidRDefault="0066142D" w:rsidP="0066142D">
      <w:pPr>
        <w:pStyle w:val="wText1"/>
        <w:keepNext/>
        <w:spacing w:after="60"/>
        <w:ind w:left="0"/>
        <w:rPr>
          <w:sz w:val="20"/>
          <w:szCs w:val="20"/>
          <w:lang w:val="sv-SE"/>
        </w:rPr>
      </w:pPr>
      <w:r w:rsidRPr="00D97EEA">
        <w:rPr>
          <w:b/>
          <w:bCs/>
          <w:i/>
          <w:iCs/>
          <w:sz w:val="20"/>
          <w:szCs w:val="20"/>
          <w:lang w:val="sv-SE"/>
        </w:rPr>
        <w:t>Uppskjutning av inlösen:</w:t>
      </w:r>
      <w:r w:rsidRPr="00D97EEA">
        <w:rPr>
          <w:sz w:val="20"/>
          <w:szCs w:val="20"/>
          <w:lang w:val="sv-SE"/>
        </w:rPr>
        <w:t xml:space="preserve"> Vid inträffande av vissa händelser som orsakar en störning med avseende på (i) handeln med kryptovalutan, (ii) de tjänster som ska tillhandahållas av en tjänsteleverantör, (iii) </w:t>
      </w:r>
      <w:proofErr w:type="spellStart"/>
      <w:r w:rsidRPr="00D97EEA">
        <w:rPr>
          <w:sz w:val="20"/>
          <w:szCs w:val="20"/>
          <w:lang w:val="sv-SE"/>
        </w:rPr>
        <w:t>depositarie</w:t>
      </w:r>
      <w:r w:rsidR="00946FBB" w:rsidRPr="00D97EEA">
        <w:rPr>
          <w:sz w:val="20"/>
          <w:szCs w:val="20"/>
          <w:lang w:val="sv-SE"/>
        </w:rPr>
        <w:t>n</w:t>
      </w:r>
      <w:proofErr w:type="spellEnd"/>
      <w:r w:rsidRPr="00D97EEA">
        <w:rPr>
          <w:sz w:val="20"/>
          <w:szCs w:val="20"/>
          <w:lang w:val="sv-SE"/>
        </w:rPr>
        <w:t xml:space="preserve"> och/eller protokollet för någon tillämplig kryptovaluta eller (iv) </w:t>
      </w:r>
      <w:r w:rsidR="00946FBB" w:rsidRPr="00D97EEA">
        <w:rPr>
          <w:sz w:val="20"/>
          <w:szCs w:val="20"/>
          <w:lang w:val="sv-SE"/>
        </w:rPr>
        <w:t xml:space="preserve">några </w:t>
      </w:r>
      <w:r w:rsidRPr="00D97EEA">
        <w:rPr>
          <w:sz w:val="20"/>
          <w:szCs w:val="20"/>
          <w:lang w:val="sv-SE"/>
        </w:rPr>
        <w:t>beräkningar med avseende på obligationerna (var och en, en "</w:t>
      </w:r>
      <w:r w:rsidRPr="00D97EEA">
        <w:rPr>
          <w:b/>
          <w:bCs/>
          <w:sz w:val="20"/>
          <w:szCs w:val="20"/>
          <w:lang w:val="sv-SE"/>
        </w:rPr>
        <w:t>störningshändelse</w:t>
      </w:r>
      <w:r w:rsidRPr="00D97EEA">
        <w:rPr>
          <w:sz w:val="20"/>
          <w:szCs w:val="20"/>
          <w:lang w:val="sv-SE"/>
        </w:rPr>
        <w:t xml:space="preserve">"), kan emittenten uppskjuta rättigheterna eller tidpunkterna för (i) att göra inlösenförfrågningar, (ii) att utföra avräkning av eventuella inlösen eller (iii) eventuella inlösen-, avräknings- eller betalningsdatum i samband </w:t>
      </w:r>
      <w:r w:rsidR="00AC0A0E" w:rsidRPr="00D97EEA">
        <w:rPr>
          <w:sz w:val="20"/>
          <w:szCs w:val="20"/>
          <w:lang w:val="sv-SE"/>
        </w:rPr>
        <w:t>med detta</w:t>
      </w:r>
      <w:r w:rsidRPr="00D97EEA">
        <w:rPr>
          <w:sz w:val="20"/>
          <w:szCs w:val="20"/>
          <w:lang w:val="sv-SE"/>
        </w:rPr>
        <w:t>.</w:t>
      </w:r>
      <w:r w:rsidRPr="00D97EEA">
        <w:rPr>
          <w:vanish/>
          <w:sz w:val="20"/>
          <w:szCs w:val="20"/>
          <w:lang w:val="sv-SE"/>
        </w:rPr>
        <w:t>Top of Form</w:t>
      </w:r>
    </w:p>
    <w:p w14:paraId="00633A53" w14:textId="6DF54ED5" w:rsidR="009D4A74" w:rsidRPr="00D97EEA" w:rsidRDefault="009D4A74" w:rsidP="009D4A74">
      <w:pPr>
        <w:pStyle w:val="Heading3"/>
        <w:numPr>
          <w:ilvl w:val="2"/>
          <w:numId w:val="42"/>
        </w:numPr>
        <w:tabs>
          <w:tab w:val="clear" w:pos="1004"/>
          <w:tab w:val="num" w:pos="720"/>
        </w:tabs>
        <w:spacing w:after="60"/>
        <w:ind w:left="720"/>
        <w:rPr>
          <w:b/>
          <w:bCs/>
          <w:sz w:val="20"/>
          <w:szCs w:val="20"/>
          <w:lang w:val="sv-SE"/>
        </w:rPr>
      </w:pPr>
      <w:r w:rsidRPr="00D97EEA">
        <w:rPr>
          <w:b/>
          <w:bCs/>
          <w:sz w:val="20"/>
          <w:szCs w:val="20"/>
          <w:lang w:val="sv-SE"/>
        </w:rPr>
        <w:t>Var kommer</w:t>
      </w:r>
      <w:r w:rsidR="00AC0A0E" w:rsidRPr="00D97EEA">
        <w:rPr>
          <w:b/>
          <w:bCs/>
          <w:sz w:val="20"/>
          <w:szCs w:val="20"/>
          <w:lang w:val="sv-SE"/>
        </w:rPr>
        <w:t xml:space="preserve"> värdepappren att handlas?</w:t>
      </w:r>
    </w:p>
    <w:p w14:paraId="79C13BEB" w14:textId="76DE258E" w:rsidR="009D4A74" w:rsidRPr="00D97EEA" w:rsidRDefault="009D4A74" w:rsidP="009D4A74">
      <w:pPr>
        <w:pStyle w:val="wText1"/>
        <w:spacing w:after="60"/>
        <w:ind w:left="0"/>
        <w:rPr>
          <w:sz w:val="20"/>
          <w:szCs w:val="20"/>
          <w:lang w:val="sv-SE"/>
        </w:rPr>
      </w:pPr>
      <w:r w:rsidRPr="00D97EEA">
        <w:rPr>
          <w:sz w:val="20"/>
          <w:szCs w:val="20"/>
          <w:lang w:val="sv-SE"/>
        </w:rPr>
        <w:t>Emittenten avser att lämna in en ansökan om upptagande till handel med obligationer</w:t>
      </w:r>
      <w:r w:rsidR="00AC0A0E" w:rsidRPr="00D97EEA">
        <w:rPr>
          <w:sz w:val="20"/>
          <w:szCs w:val="20"/>
          <w:lang w:val="sv-SE"/>
        </w:rPr>
        <w:t>na</w:t>
      </w:r>
      <w:r w:rsidRPr="00D97EEA">
        <w:rPr>
          <w:sz w:val="20"/>
          <w:szCs w:val="20"/>
          <w:lang w:val="sv-SE"/>
        </w:rPr>
        <w:t xml:space="preserve"> på den reglerade marknaden för Frankfurtbörsen och på SIX Swiss Exchange. Emittenten kan besluta att börsnotera obligationerna på sådana andra eller ytterligare reglerade marknader och/eller ordna med handel med obligationerna på multilateral</w:t>
      </w:r>
      <w:r w:rsidR="00AC0A0E" w:rsidRPr="00D97EEA">
        <w:rPr>
          <w:sz w:val="20"/>
          <w:szCs w:val="20"/>
          <w:lang w:val="sv-SE"/>
        </w:rPr>
        <w:t>a</w:t>
      </w:r>
      <w:r w:rsidRPr="00D97EEA">
        <w:rPr>
          <w:sz w:val="20"/>
          <w:szCs w:val="20"/>
          <w:lang w:val="sv-SE"/>
        </w:rPr>
        <w:t xml:space="preserve"> handelsplattformar, organiserade handelsplattformar eller genom systematiska internhandlare, allt i den mening som avses i Europaparlamentets och rådets direktiv 2014/65/EU av den 15 maj 2014 om marknader för finansiella instrument.</w:t>
      </w:r>
    </w:p>
    <w:p w14:paraId="0524A84D" w14:textId="4353B33E" w:rsidR="009D4A74" w:rsidRPr="00D97EEA" w:rsidRDefault="009D4A74" w:rsidP="009D4A74">
      <w:pPr>
        <w:pStyle w:val="Heading3"/>
        <w:numPr>
          <w:ilvl w:val="2"/>
          <w:numId w:val="42"/>
        </w:numPr>
        <w:tabs>
          <w:tab w:val="clear" w:pos="1004"/>
          <w:tab w:val="num" w:pos="720"/>
        </w:tabs>
        <w:ind w:left="720"/>
        <w:rPr>
          <w:b/>
          <w:bCs/>
          <w:sz w:val="20"/>
          <w:szCs w:val="20"/>
          <w:lang w:val="sv-SE"/>
        </w:rPr>
      </w:pPr>
      <w:r w:rsidRPr="00D97EEA">
        <w:rPr>
          <w:b/>
          <w:bCs/>
          <w:sz w:val="20"/>
          <w:szCs w:val="20"/>
          <w:lang w:val="sv-SE"/>
        </w:rPr>
        <w:t xml:space="preserve">Vilka </w:t>
      </w:r>
      <w:r w:rsidR="00140D8E" w:rsidRPr="00D97EEA">
        <w:rPr>
          <w:b/>
          <w:bCs/>
          <w:sz w:val="20"/>
          <w:szCs w:val="20"/>
          <w:lang w:val="sv-SE"/>
        </w:rPr>
        <w:t xml:space="preserve">väsentliga </w:t>
      </w:r>
      <w:r w:rsidRPr="00D97EEA">
        <w:rPr>
          <w:b/>
          <w:bCs/>
          <w:sz w:val="20"/>
          <w:szCs w:val="20"/>
          <w:lang w:val="sv-SE"/>
        </w:rPr>
        <w:t>är specifika för värdepapperen?</w:t>
      </w:r>
    </w:p>
    <w:p w14:paraId="6A59527C" w14:textId="0372EDCC" w:rsidR="009D4A74" w:rsidRPr="00D97EEA" w:rsidRDefault="009D4A74" w:rsidP="009D4A74">
      <w:pPr>
        <w:pStyle w:val="wText1"/>
        <w:spacing w:after="60"/>
        <w:ind w:left="0"/>
        <w:rPr>
          <w:i/>
          <w:sz w:val="20"/>
          <w:szCs w:val="20"/>
          <w:lang w:val="sv-SE"/>
        </w:rPr>
      </w:pPr>
      <w:r w:rsidRPr="00D97EEA">
        <w:rPr>
          <w:i/>
          <w:sz w:val="20"/>
          <w:szCs w:val="20"/>
          <w:lang w:val="sv-SE"/>
        </w:rPr>
        <w:t>Följande nyckelrisker kan leda till betydande förluster för obligationsinnehavare. Varje obligationsinnehavare skulle behöva bära eventuella förluster vid försäljning av sina obligationer eller vid återbetalning av kapitalbeloppet</w:t>
      </w:r>
      <w:r w:rsidR="00140D8E" w:rsidRPr="00D97EEA">
        <w:rPr>
          <w:i/>
          <w:sz w:val="20"/>
          <w:szCs w:val="20"/>
          <w:lang w:val="sv-SE"/>
        </w:rPr>
        <w:t>:</w:t>
      </w:r>
    </w:p>
    <w:p w14:paraId="7FBE47F1" w14:textId="7D1038B2" w:rsidR="009D4A74" w:rsidRPr="00D97EEA" w:rsidRDefault="009D4A74" w:rsidP="009D4A74">
      <w:pPr>
        <w:pStyle w:val="wText1"/>
        <w:spacing w:after="60"/>
        <w:ind w:left="0"/>
        <w:rPr>
          <w:b/>
          <w:sz w:val="20"/>
          <w:szCs w:val="20"/>
          <w:lang w:val="sv-SE"/>
        </w:rPr>
      </w:pPr>
      <w:r w:rsidRPr="00D97EEA">
        <w:rPr>
          <w:b/>
          <w:sz w:val="20"/>
          <w:szCs w:val="20"/>
          <w:lang w:val="sv-SE"/>
        </w:rPr>
        <w:t xml:space="preserve">Risker </w:t>
      </w:r>
      <w:r w:rsidR="00140D8E" w:rsidRPr="00D97EEA">
        <w:rPr>
          <w:b/>
          <w:sz w:val="20"/>
          <w:szCs w:val="20"/>
          <w:lang w:val="sv-SE"/>
        </w:rPr>
        <w:t xml:space="preserve">relaterade </w:t>
      </w:r>
      <w:r w:rsidRPr="00D97EEA">
        <w:rPr>
          <w:b/>
          <w:sz w:val="20"/>
          <w:szCs w:val="20"/>
          <w:lang w:val="sv-SE"/>
        </w:rPr>
        <w:t>till obligationernas typ och villkor</w:t>
      </w:r>
    </w:p>
    <w:p w14:paraId="6FACEA0D" w14:textId="4869EAFF" w:rsidR="00703A04" w:rsidRPr="00D97EEA" w:rsidRDefault="00703A04" w:rsidP="00703A04">
      <w:pPr>
        <w:pStyle w:val="wText1"/>
        <w:ind w:left="0"/>
        <w:rPr>
          <w:sz w:val="20"/>
          <w:szCs w:val="20"/>
          <w:lang w:val="da-DK"/>
        </w:rPr>
      </w:pPr>
      <w:r w:rsidRPr="00D97EEA">
        <w:rPr>
          <w:b/>
          <w:bCs/>
          <w:i/>
          <w:iCs/>
          <w:sz w:val="20"/>
          <w:szCs w:val="20"/>
          <w:lang w:val="sv-SE"/>
        </w:rPr>
        <w:t>Risk för förlust relaterad till Staking:</w:t>
      </w:r>
      <w:r w:rsidRPr="00D97EEA">
        <w:rPr>
          <w:sz w:val="20"/>
          <w:szCs w:val="20"/>
          <w:lang w:val="sv-SE"/>
        </w:rPr>
        <w:t xml:space="preserve"> Vissa </w:t>
      </w:r>
      <w:r w:rsidR="00024B08" w:rsidRPr="00D97EEA">
        <w:rPr>
          <w:sz w:val="20"/>
          <w:szCs w:val="20"/>
          <w:lang w:val="sv-SE"/>
        </w:rPr>
        <w:t>”</w:t>
      </w:r>
      <w:r w:rsidRPr="00D97EEA">
        <w:rPr>
          <w:sz w:val="20"/>
          <w:szCs w:val="20"/>
          <w:lang w:val="sv-SE"/>
        </w:rPr>
        <w:t>proof of stake</w:t>
      </w:r>
      <w:r w:rsidR="00024B08" w:rsidRPr="00D97EEA">
        <w:rPr>
          <w:sz w:val="20"/>
          <w:szCs w:val="20"/>
          <w:lang w:val="sv-SE"/>
        </w:rPr>
        <w:t>”</w:t>
      </w:r>
      <w:r w:rsidRPr="00D97EEA">
        <w:rPr>
          <w:sz w:val="20"/>
          <w:szCs w:val="20"/>
          <w:lang w:val="sv-SE"/>
        </w:rPr>
        <w:t>-protokoll inför straff för validerare som vårdslöst eller illvilligt validerar transaktioner på protokollen (”</w:t>
      </w:r>
      <w:proofErr w:type="spellStart"/>
      <w:r w:rsidRPr="00D97EEA">
        <w:rPr>
          <w:b/>
          <w:bCs/>
          <w:sz w:val="20"/>
          <w:szCs w:val="20"/>
          <w:lang w:val="sv-SE"/>
        </w:rPr>
        <w:t>Staking</w:t>
      </w:r>
      <w:proofErr w:type="spellEnd"/>
      <w:r w:rsidR="00024B08" w:rsidRPr="00D97EEA">
        <w:rPr>
          <w:b/>
          <w:bCs/>
          <w:sz w:val="20"/>
          <w:szCs w:val="20"/>
          <w:lang w:val="sv-SE"/>
        </w:rPr>
        <w:t xml:space="preserve"> </w:t>
      </w:r>
      <w:proofErr w:type="spellStart"/>
      <w:r w:rsidR="00024B08" w:rsidRPr="00D97EEA">
        <w:rPr>
          <w:b/>
          <w:bCs/>
          <w:sz w:val="20"/>
          <w:szCs w:val="20"/>
          <w:lang w:val="sv-SE"/>
        </w:rPr>
        <w:t>Penalties</w:t>
      </w:r>
      <w:proofErr w:type="spellEnd"/>
      <w:r w:rsidRPr="00D97EEA">
        <w:rPr>
          <w:sz w:val="20"/>
          <w:szCs w:val="20"/>
          <w:lang w:val="sv-SE"/>
        </w:rPr>
        <w:t xml:space="preserve">”). </w:t>
      </w:r>
      <w:proofErr w:type="spellStart"/>
      <w:r w:rsidRPr="00D97EEA">
        <w:rPr>
          <w:sz w:val="20"/>
          <w:szCs w:val="20"/>
          <w:lang w:val="da-DK"/>
        </w:rPr>
        <w:t>Sådana</w:t>
      </w:r>
      <w:proofErr w:type="spellEnd"/>
      <w:r w:rsidRPr="00D97EEA">
        <w:rPr>
          <w:sz w:val="20"/>
          <w:szCs w:val="20"/>
          <w:lang w:val="da-DK"/>
        </w:rPr>
        <w:t xml:space="preserve"> </w:t>
      </w:r>
      <w:r w:rsidR="00024B08" w:rsidRPr="00D97EEA">
        <w:rPr>
          <w:sz w:val="20"/>
          <w:szCs w:val="20"/>
          <w:lang w:val="da-DK"/>
        </w:rPr>
        <w:t>”</w:t>
      </w:r>
      <w:proofErr w:type="spellStart"/>
      <w:r w:rsidR="00D43645" w:rsidRPr="00D97EEA">
        <w:rPr>
          <w:sz w:val="20"/>
          <w:szCs w:val="20"/>
          <w:lang w:val="da-DK"/>
        </w:rPr>
        <w:t>S</w:t>
      </w:r>
      <w:r w:rsidR="00024B08" w:rsidRPr="00D97EEA">
        <w:rPr>
          <w:sz w:val="20"/>
          <w:szCs w:val="20"/>
          <w:lang w:val="da-DK"/>
        </w:rPr>
        <w:t>taking</w:t>
      </w:r>
      <w:proofErr w:type="spellEnd"/>
      <w:r w:rsidR="00024B08" w:rsidRPr="00D97EEA">
        <w:rPr>
          <w:sz w:val="20"/>
          <w:szCs w:val="20"/>
          <w:lang w:val="da-DK"/>
        </w:rPr>
        <w:t xml:space="preserve"> </w:t>
      </w:r>
      <w:proofErr w:type="spellStart"/>
      <w:r w:rsidR="00024B08" w:rsidRPr="00D97EEA">
        <w:rPr>
          <w:sz w:val="20"/>
          <w:szCs w:val="20"/>
          <w:lang w:val="da-DK"/>
        </w:rPr>
        <w:t>Penalties</w:t>
      </w:r>
      <w:proofErr w:type="spellEnd"/>
      <w:r w:rsidR="00024B08" w:rsidRPr="00D97EEA">
        <w:rPr>
          <w:sz w:val="20"/>
          <w:szCs w:val="20"/>
          <w:lang w:val="da-DK"/>
        </w:rPr>
        <w:t>”</w:t>
      </w:r>
      <w:r w:rsidRPr="00D97EEA">
        <w:rPr>
          <w:sz w:val="20"/>
          <w:szCs w:val="20"/>
          <w:lang w:val="da-DK"/>
        </w:rPr>
        <w:t xml:space="preserve"> kan </w:t>
      </w:r>
      <w:proofErr w:type="spellStart"/>
      <w:r w:rsidRPr="00D97EEA">
        <w:rPr>
          <w:sz w:val="20"/>
          <w:szCs w:val="20"/>
          <w:lang w:val="da-DK"/>
        </w:rPr>
        <w:t>också</w:t>
      </w:r>
      <w:proofErr w:type="spellEnd"/>
      <w:r w:rsidRPr="00D97EEA">
        <w:rPr>
          <w:sz w:val="20"/>
          <w:szCs w:val="20"/>
          <w:lang w:val="da-DK"/>
        </w:rPr>
        <w:t xml:space="preserve"> införas på grund av oavsiktliga fel, tekniska problem, hacking och andra illvilliga aktiviteter. Staking-straff kan innefatta förlust av belöningar samt förlust </w:t>
      </w:r>
      <w:proofErr w:type="gramStart"/>
      <w:r w:rsidRPr="00D97EEA">
        <w:rPr>
          <w:sz w:val="20"/>
          <w:szCs w:val="20"/>
          <w:lang w:val="da-DK"/>
        </w:rPr>
        <w:t>av</w:t>
      </w:r>
      <w:proofErr w:type="gramEnd"/>
      <w:r w:rsidRPr="00D97EEA">
        <w:rPr>
          <w:sz w:val="20"/>
          <w:szCs w:val="20"/>
          <w:lang w:val="da-DK"/>
        </w:rPr>
        <w:t xml:space="preserve"> enheter</w:t>
      </w:r>
      <w:r w:rsidR="00024B08" w:rsidRPr="00D97EEA">
        <w:rPr>
          <w:sz w:val="20"/>
          <w:szCs w:val="20"/>
          <w:lang w:val="da-DK"/>
        </w:rPr>
        <w:t>na</w:t>
      </w:r>
      <w:r w:rsidRPr="00D97EEA">
        <w:rPr>
          <w:sz w:val="20"/>
          <w:szCs w:val="20"/>
          <w:lang w:val="da-DK"/>
        </w:rPr>
        <w:t xml:space="preserve"> av den underliggande kryptovalutan som </w:t>
      </w:r>
      <w:proofErr w:type="spellStart"/>
      <w:r w:rsidRPr="00D97EEA">
        <w:rPr>
          <w:sz w:val="20"/>
          <w:szCs w:val="20"/>
          <w:lang w:val="da-DK"/>
        </w:rPr>
        <w:t>är</w:t>
      </w:r>
      <w:proofErr w:type="spellEnd"/>
      <w:r w:rsidRPr="00D97EEA">
        <w:rPr>
          <w:sz w:val="20"/>
          <w:szCs w:val="20"/>
          <w:lang w:val="da-DK"/>
        </w:rPr>
        <w:t xml:space="preserve"> </w:t>
      </w:r>
      <w:proofErr w:type="spellStart"/>
      <w:r w:rsidRPr="00D97EEA">
        <w:rPr>
          <w:sz w:val="20"/>
          <w:szCs w:val="20"/>
          <w:lang w:val="da-DK"/>
        </w:rPr>
        <w:t>föremål</w:t>
      </w:r>
      <w:proofErr w:type="spellEnd"/>
      <w:r w:rsidRPr="00D97EEA">
        <w:rPr>
          <w:sz w:val="20"/>
          <w:szCs w:val="20"/>
          <w:lang w:val="da-DK"/>
        </w:rPr>
        <w:t xml:space="preserve"> </w:t>
      </w:r>
      <w:proofErr w:type="spellStart"/>
      <w:r w:rsidRPr="00D97EEA">
        <w:rPr>
          <w:sz w:val="20"/>
          <w:szCs w:val="20"/>
          <w:lang w:val="da-DK"/>
        </w:rPr>
        <w:t>för</w:t>
      </w:r>
      <w:proofErr w:type="spellEnd"/>
      <w:r w:rsidRPr="00D97EEA">
        <w:rPr>
          <w:sz w:val="20"/>
          <w:szCs w:val="20"/>
          <w:lang w:val="da-DK"/>
        </w:rPr>
        <w:t xml:space="preserve"> </w:t>
      </w:r>
      <w:proofErr w:type="spellStart"/>
      <w:r w:rsidR="00D43645" w:rsidRPr="00D97EEA">
        <w:rPr>
          <w:sz w:val="20"/>
          <w:szCs w:val="20"/>
          <w:lang w:val="da-DK"/>
        </w:rPr>
        <w:t>insats</w:t>
      </w:r>
      <w:proofErr w:type="spellEnd"/>
      <w:r w:rsidRPr="00D97EEA">
        <w:rPr>
          <w:sz w:val="20"/>
          <w:szCs w:val="20"/>
          <w:lang w:val="da-DK"/>
        </w:rPr>
        <w:t xml:space="preserve">. Om </w:t>
      </w:r>
      <w:proofErr w:type="spellStart"/>
      <w:r w:rsidRPr="00D97EEA">
        <w:rPr>
          <w:sz w:val="20"/>
          <w:szCs w:val="20"/>
          <w:lang w:val="da-DK"/>
        </w:rPr>
        <w:t>sådana</w:t>
      </w:r>
      <w:proofErr w:type="spellEnd"/>
      <w:r w:rsidRPr="00D97EEA">
        <w:rPr>
          <w:sz w:val="20"/>
          <w:szCs w:val="20"/>
          <w:lang w:val="da-DK"/>
        </w:rPr>
        <w:t xml:space="preserve"> </w:t>
      </w:r>
      <w:r w:rsidR="00D43645" w:rsidRPr="00D97EEA">
        <w:rPr>
          <w:sz w:val="20"/>
          <w:szCs w:val="20"/>
          <w:lang w:val="da-DK"/>
        </w:rPr>
        <w:t>”</w:t>
      </w:r>
      <w:proofErr w:type="spellStart"/>
      <w:r w:rsidR="00D43645" w:rsidRPr="00D97EEA">
        <w:rPr>
          <w:sz w:val="20"/>
          <w:szCs w:val="20"/>
          <w:lang w:val="da-DK"/>
        </w:rPr>
        <w:t>s</w:t>
      </w:r>
      <w:r w:rsidRPr="00D97EEA">
        <w:rPr>
          <w:sz w:val="20"/>
          <w:szCs w:val="20"/>
          <w:lang w:val="da-DK"/>
        </w:rPr>
        <w:t>taking</w:t>
      </w:r>
      <w:proofErr w:type="spellEnd"/>
      <w:r w:rsidR="00D43645" w:rsidRPr="00D97EEA">
        <w:rPr>
          <w:sz w:val="20"/>
          <w:szCs w:val="20"/>
          <w:lang w:val="da-DK"/>
        </w:rPr>
        <w:t xml:space="preserve"> </w:t>
      </w:r>
      <w:proofErr w:type="spellStart"/>
      <w:r w:rsidR="00D43645" w:rsidRPr="00D97EEA">
        <w:rPr>
          <w:sz w:val="20"/>
          <w:szCs w:val="20"/>
          <w:lang w:val="da-DK"/>
        </w:rPr>
        <w:t>penalties</w:t>
      </w:r>
      <w:proofErr w:type="spellEnd"/>
      <w:r w:rsidR="00D43645" w:rsidRPr="00D97EEA">
        <w:rPr>
          <w:sz w:val="20"/>
          <w:szCs w:val="20"/>
          <w:lang w:val="da-DK"/>
        </w:rPr>
        <w:t>”</w:t>
      </w:r>
      <w:r w:rsidRPr="00D97EEA">
        <w:rPr>
          <w:sz w:val="20"/>
          <w:szCs w:val="20"/>
          <w:lang w:val="da-DK"/>
        </w:rPr>
        <w:t xml:space="preserve"> </w:t>
      </w:r>
      <w:proofErr w:type="spellStart"/>
      <w:r w:rsidRPr="00D97EEA">
        <w:rPr>
          <w:sz w:val="20"/>
          <w:szCs w:val="20"/>
          <w:lang w:val="da-DK"/>
        </w:rPr>
        <w:t>tillämpas</w:t>
      </w:r>
      <w:proofErr w:type="spellEnd"/>
      <w:r w:rsidRPr="00D97EEA">
        <w:rPr>
          <w:sz w:val="20"/>
          <w:szCs w:val="20"/>
          <w:lang w:val="da-DK"/>
        </w:rPr>
        <w:t xml:space="preserve"> på </w:t>
      </w:r>
      <w:r w:rsidR="00D43645" w:rsidRPr="00D97EEA">
        <w:rPr>
          <w:sz w:val="20"/>
          <w:szCs w:val="20"/>
          <w:lang w:val="da-DK"/>
        </w:rPr>
        <w:t xml:space="preserve">de </w:t>
      </w:r>
      <w:proofErr w:type="spellStart"/>
      <w:r w:rsidRPr="00D97EEA">
        <w:rPr>
          <w:sz w:val="20"/>
          <w:szCs w:val="20"/>
          <w:lang w:val="da-DK"/>
        </w:rPr>
        <w:t>kryptovalutor</w:t>
      </w:r>
      <w:proofErr w:type="spellEnd"/>
      <w:r w:rsidRPr="00D97EEA">
        <w:rPr>
          <w:sz w:val="20"/>
          <w:szCs w:val="20"/>
          <w:lang w:val="da-DK"/>
        </w:rPr>
        <w:t xml:space="preserve"> som </w:t>
      </w:r>
      <w:proofErr w:type="spellStart"/>
      <w:r w:rsidRPr="00D97EEA">
        <w:rPr>
          <w:sz w:val="20"/>
          <w:szCs w:val="20"/>
          <w:lang w:val="da-DK"/>
        </w:rPr>
        <w:t>används</w:t>
      </w:r>
      <w:proofErr w:type="spellEnd"/>
      <w:r w:rsidRPr="00D97EEA">
        <w:rPr>
          <w:sz w:val="20"/>
          <w:szCs w:val="20"/>
          <w:lang w:val="da-DK"/>
        </w:rPr>
        <w:t xml:space="preserve"> </w:t>
      </w:r>
      <w:proofErr w:type="spellStart"/>
      <w:r w:rsidRPr="00D97EEA">
        <w:rPr>
          <w:sz w:val="20"/>
          <w:szCs w:val="20"/>
          <w:lang w:val="da-DK"/>
        </w:rPr>
        <w:t>för</w:t>
      </w:r>
      <w:proofErr w:type="spellEnd"/>
      <w:r w:rsidRPr="00D97EEA">
        <w:rPr>
          <w:sz w:val="20"/>
          <w:szCs w:val="20"/>
          <w:lang w:val="da-DK"/>
        </w:rPr>
        <w:t xml:space="preserve"> Staking av emittenten och emittenten inte kan fullt ut mildra eller kompensera effekterna </w:t>
      </w:r>
      <w:proofErr w:type="gramStart"/>
      <w:r w:rsidRPr="00D97EEA">
        <w:rPr>
          <w:sz w:val="20"/>
          <w:szCs w:val="20"/>
          <w:lang w:val="da-DK"/>
        </w:rPr>
        <w:t>av</w:t>
      </w:r>
      <w:proofErr w:type="gramEnd"/>
      <w:r w:rsidRPr="00D97EEA">
        <w:rPr>
          <w:sz w:val="20"/>
          <w:szCs w:val="20"/>
          <w:lang w:val="da-DK"/>
        </w:rPr>
        <w:t xml:space="preserve"> dessa händelser på det </w:t>
      </w:r>
      <w:proofErr w:type="spellStart"/>
      <w:r w:rsidRPr="00D97EEA">
        <w:rPr>
          <w:sz w:val="20"/>
          <w:szCs w:val="20"/>
          <w:lang w:val="da-DK"/>
        </w:rPr>
        <w:t>säkrade</w:t>
      </w:r>
      <w:proofErr w:type="spellEnd"/>
      <w:r w:rsidRPr="00D97EEA">
        <w:rPr>
          <w:sz w:val="20"/>
          <w:szCs w:val="20"/>
          <w:lang w:val="da-DK"/>
        </w:rPr>
        <w:t xml:space="preserve"> </w:t>
      </w:r>
      <w:proofErr w:type="spellStart"/>
      <w:r w:rsidR="00D43645" w:rsidRPr="00D97EEA">
        <w:rPr>
          <w:sz w:val="20"/>
          <w:szCs w:val="20"/>
          <w:lang w:val="da-DK"/>
        </w:rPr>
        <w:t>obligationsbeloppet</w:t>
      </w:r>
      <w:proofErr w:type="spellEnd"/>
      <w:r w:rsidR="00D43645" w:rsidRPr="00D97EEA">
        <w:rPr>
          <w:sz w:val="20"/>
          <w:szCs w:val="20"/>
          <w:lang w:val="da-DK"/>
        </w:rPr>
        <w:t xml:space="preserve"> </w:t>
      </w:r>
      <w:r w:rsidRPr="00D97EEA">
        <w:rPr>
          <w:sz w:val="20"/>
          <w:szCs w:val="20"/>
          <w:lang w:val="da-DK"/>
        </w:rPr>
        <w:t xml:space="preserve">på grund av </w:t>
      </w:r>
      <w:proofErr w:type="spellStart"/>
      <w:r w:rsidRPr="00D97EEA">
        <w:rPr>
          <w:sz w:val="20"/>
          <w:szCs w:val="20"/>
          <w:lang w:val="da-DK"/>
        </w:rPr>
        <w:t>att</w:t>
      </w:r>
      <w:proofErr w:type="spellEnd"/>
      <w:r w:rsidRPr="00D97EEA">
        <w:rPr>
          <w:sz w:val="20"/>
          <w:szCs w:val="20"/>
          <w:lang w:val="da-DK"/>
        </w:rPr>
        <w:t xml:space="preserve"> </w:t>
      </w:r>
      <w:proofErr w:type="spellStart"/>
      <w:r w:rsidRPr="00D97EEA">
        <w:rPr>
          <w:sz w:val="20"/>
          <w:szCs w:val="20"/>
          <w:lang w:val="da-DK"/>
        </w:rPr>
        <w:t>Staking</w:t>
      </w:r>
      <w:proofErr w:type="spellEnd"/>
      <w:r w:rsidR="00D43645" w:rsidRPr="00D97EEA">
        <w:rPr>
          <w:sz w:val="20"/>
          <w:szCs w:val="20"/>
          <w:lang w:val="da-DK"/>
        </w:rPr>
        <w:t xml:space="preserve"> </w:t>
      </w:r>
      <w:proofErr w:type="spellStart"/>
      <w:r w:rsidR="00D43645" w:rsidRPr="00D97EEA">
        <w:rPr>
          <w:sz w:val="20"/>
          <w:szCs w:val="20"/>
          <w:lang w:val="da-DK"/>
        </w:rPr>
        <w:t>providern</w:t>
      </w:r>
      <w:proofErr w:type="spellEnd"/>
      <w:r w:rsidRPr="00D97EEA">
        <w:rPr>
          <w:sz w:val="20"/>
          <w:szCs w:val="20"/>
          <w:lang w:val="da-DK"/>
        </w:rPr>
        <w:t xml:space="preserve"> eller </w:t>
      </w:r>
      <w:proofErr w:type="spellStart"/>
      <w:r w:rsidRPr="00D97EEA">
        <w:rPr>
          <w:sz w:val="20"/>
          <w:szCs w:val="20"/>
          <w:lang w:val="da-DK"/>
        </w:rPr>
        <w:t>depositariet</w:t>
      </w:r>
      <w:proofErr w:type="spellEnd"/>
      <w:r w:rsidRPr="00D97EEA">
        <w:rPr>
          <w:sz w:val="20"/>
          <w:szCs w:val="20"/>
          <w:lang w:val="da-DK"/>
        </w:rPr>
        <w:t xml:space="preserve"> inte kan uppfylla sina åtaganden gentemot emittenten, har emittenten </w:t>
      </w:r>
      <w:proofErr w:type="spellStart"/>
      <w:r w:rsidRPr="00D97EEA">
        <w:rPr>
          <w:sz w:val="20"/>
          <w:szCs w:val="20"/>
          <w:lang w:val="da-DK"/>
        </w:rPr>
        <w:t>rätt</w:t>
      </w:r>
      <w:proofErr w:type="spellEnd"/>
      <w:r w:rsidRPr="00D97EEA">
        <w:rPr>
          <w:sz w:val="20"/>
          <w:szCs w:val="20"/>
          <w:lang w:val="da-DK"/>
        </w:rPr>
        <w:t xml:space="preserve"> </w:t>
      </w:r>
      <w:proofErr w:type="spellStart"/>
      <w:r w:rsidRPr="00D97EEA">
        <w:rPr>
          <w:sz w:val="20"/>
          <w:szCs w:val="20"/>
          <w:lang w:val="da-DK"/>
        </w:rPr>
        <w:t>att</w:t>
      </w:r>
      <w:proofErr w:type="spellEnd"/>
      <w:r w:rsidRPr="00D97EEA">
        <w:rPr>
          <w:sz w:val="20"/>
          <w:szCs w:val="20"/>
          <w:lang w:val="da-DK"/>
        </w:rPr>
        <w:t xml:space="preserve"> </w:t>
      </w:r>
      <w:proofErr w:type="spellStart"/>
      <w:r w:rsidRPr="00D97EEA">
        <w:rPr>
          <w:sz w:val="20"/>
          <w:szCs w:val="20"/>
          <w:lang w:val="da-DK"/>
        </w:rPr>
        <w:t>justera</w:t>
      </w:r>
      <w:proofErr w:type="spellEnd"/>
      <w:r w:rsidRPr="00D97EEA">
        <w:rPr>
          <w:sz w:val="20"/>
          <w:szCs w:val="20"/>
          <w:lang w:val="da-DK"/>
        </w:rPr>
        <w:t xml:space="preserve"> </w:t>
      </w:r>
      <w:proofErr w:type="spellStart"/>
      <w:r w:rsidR="00D43645" w:rsidRPr="00D97EEA">
        <w:rPr>
          <w:sz w:val="20"/>
          <w:szCs w:val="20"/>
          <w:lang w:val="da-DK"/>
        </w:rPr>
        <w:t>Kryptovalutanättigheterna</w:t>
      </w:r>
      <w:proofErr w:type="spellEnd"/>
      <w:r w:rsidRPr="00D97EEA">
        <w:rPr>
          <w:sz w:val="20"/>
          <w:szCs w:val="20"/>
          <w:lang w:val="da-DK"/>
        </w:rPr>
        <w:t xml:space="preserve">. Detta kommer effektivt att resultera i en </w:t>
      </w:r>
      <w:r w:rsidRPr="00D97EEA">
        <w:rPr>
          <w:sz w:val="20"/>
          <w:szCs w:val="20"/>
          <w:lang w:val="da-DK"/>
        </w:rPr>
        <w:lastRenderedPageBreak/>
        <w:t xml:space="preserve">minskning av rätten till kryptovaluta, även till noll, så att investerare i sådana obligationer kan </w:t>
      </w:r>
      <w:proofErr w:type="spellStart"/>
      <w:r w:rsidR="00D43645" w:rsidRPr="00D97EEA">
        <w:rPr>
          <w:sz w:val="20"/>
          <w:szCs w:val="20"/>
          <w:lang w:val="da-DK"/>
        </w:rPr>
        <w:t>drabbas</w:t>
      </w:r>
      <w:proofErr w:type="spellEnd"/>
      <w:r w:rsidR="00D43645" w:rsidRPr="00D97EEA">
        <w:rPr>
          <w:sz w:val="20"/>
          <w:szCs w:val="20"/>
          <w:lang w:val="da-DK"/>
        </w:rPr>
        <w:t xml:space="preserve"> av </w:t>
      </w:r>
      <w:r w:rsidRPr="00D97EEA">
        <w:rPr>
          <w:sz w:val="20"/>
          <w:szCs w:val="20"/>
          <w:lang w:val="da-DK"/>
        </w:rPr>
        <w:t xml:space="preserve">en total </w:t>
      </w:r>
      <w:proofErr w:type="spellStart"/>
      <w:r w:rsidRPr="00D97EEA">
        <w:rPr>
          <w:sz w:val="20"/>
          <w:szCs w:val="20"/>
          <w:lang w:val="da-DK"/>
        </w:rPr>
        <w:t>förlust</w:t>
      </w:r>
      <w:proofErr w:type="spellEnd"/>
      <w:r w:rsidRPr="00D97EEA">
        <w:rPr>
          <w:sz w:val="20"/>
          <w:szCs w:val="20"/>
          <w:lang w:val="da-DK"/>
        </w:rPr>
        <w:t xml:space="preserve"> av sin investering.</w:t>
      </w:r>
    </w:p>
    <w:p w14:paraId="579BD7DA" w14:textId="35D98E44" w:rsidR="00703A04" w:rsidRPr="00D97EEA" w:rsidRDefault="00703A04" w:rsidP="00703A04">
      <w:pPr>
        <w:pStyle w:val="wText1"/>
        <w:ind w:left="0"/>
        <w:rPr>
          <w:sz w:val="20"/>
          <w:szCs w:val="20"/>
          <w:lang w:val="da-DK"/>
        </w:rPr>
      </w:pPr>
      <w:r w:rsidRPr="00D97EEA">
        <w:rPr>
          <w:b/>
          <w:bCs/>
          <w:i/>
          <w:iCs/>
          <w:sz w:val="20"/>
          <w:szCs w:val="20"/>
          <w:lang w:val="da-DK"/>
        </w:rPr>
        <w:t xml:space="preserve">Risk i samband med </w:t>
      </w:r>
      <w:r w:rsidR="00AD59E4" w:rsidRPr="00D97EEA">
        <w:rPr>
          <w:b/>
          <w:bCs/>
          <w:i/>
          <w:iCs/>
          <w:sz w:val="20"/>
          <w:szCs w:val="20"/>
          <w:lang w:val="da-DK"/>
        </w:rPr>
        <w:t xml:space="preserve">försenad deponering av </w:t>
      </w:r>
      <w:proofErr w:type="spellStart"/>
      <w:r w:rsidR="00AD59E4" w:rsidRPr="00D97EEA">
        <w:rPr>
          <w:b/>
          <w:bCs/>
          <w:i/>
          <w:iCs/>
          <w:sz w:val="20"/>
          <w:szCs w:val="20"/>
          <w:lang w:val="da-DK"/>
        </w:rPr>
        <w:t>Staking</w:t>
      </w:r>
      <w:proofErr w:type="spellEnd"/>
      <w:r w:rsidR="00AD59E4" w:rsidRPr="00D97EEA">
        <w:rPr>
          <w:b/>
          <w:bCs/>
          <w:i/>
          <w:iCs/>
          <w:sz w:val="20"/>
          <w:szCs w:val="20"/>
          <w:lang w:val="da-DK"/>
        </w:rPr>
        <w:t xml:space="preserve"> </w:t>
      </w:r>
      <w:proofErr w:type="spellStart"/>
      <w:r w:rsidR="00AD59E4" w:rsidRPr="00D97EEA">
        <w:rPr>
          <w:b/>
          <w:bCs/>
          <w:i/>
          <w:iCs/>
          <w:sz w:val="20"/>
          <w:szCs w:val="20"/>
          <w:lang w:val="da-DK"/>
        </w:rPr>
        <w:t>Belöningar</w:t>
      </w:r>
      <w:proofErr w:type="spellEnd"/>
      <w:r w:rsidRPr="00D97EEA">
        <w:rPr>
          <w:b/>
          <w:bCs/>
          <w:i/>
          <w:iCs/>
          <w:sz w:val="20"/>
          <w:szCs w:val="20"/>
          <w:lang w:val="da-DK"/>
        </w:rPr>
        <w:t>:</w:t>
      </w:r>
      <w:r w:rsidRPr="00D97EEA">
        <w:rPr>
          <w:sz w:val="20"/>
          <w:szCs w:val="20"/>
          <w:lang w:val="da-DK"/>
        </w:rPr>
        <w:t xml:space="preserve"> Medan alla </w:t>
      </w:r>
      <w:proofErr w:type="spellStart"/>
      <w:r w:rsidRPr="00D97EEA">
        <w:rPr>
          <w:sz w:val="20"/>
          <w:szCs w:val="20"/>
          <w:lang w:val="da-DK"/>
        </w:rPr>
        <w:t>enheter</w:t>
      </w:r>
      <w:proofErr w:type="spellEnd"/>
      <w:r w:rsidRPr="00D97EEA">
        <w:rPr>
          <w:sz w:val="20"/>
          <w:szCs w:val="20"/>
          <w:lang w:val="da-DK"/>
        </w:rPr>
        <w:t xml:space="preserve"> av kryptovaluta som emittenten tar emot i samband med teckning av obligationerna kommer att överföras direkt till depositarplånboken och säkras genom ett säkerhetsavtal till förmån för obligationsinnehavarna, kommer belöningar </w:t>
      </w:r>
      <w:r w:rsidR="00AD59E4" w:rsidRPr="00D97EEA">
        <w:rPr>
          <w:sz w:val="20"/>
          <w:szCs w:val="20"/>
          <w:lang w:val="da-DK"/>
        </w:rPr>
        <w:t xml:space="preserve">som tas emot </w:t>
      </w:r>
      <w:r w:rsidRPr="00D97EEA">
        <w:rPr>
          <w:sz w:val="20"/>
          <w:szCs w:val="20"/>
          <w:lang w:val="da-DK"/>
        </w:rPr>
        <w:t>för Staking (”</w:t>
      </w:r>
      <w:r w:rsidRPr="00D97EEA">
        <w:rPr>
          <w:b/>
          <w:bCs/>
          <w:sz w:val="20"/>
          <w:szCs w:val="20"/>
          <w:lang w:val="da-DK"/>
        </w:rPr>
        <w:t>Staking-belöningar</w:t>
      </w:r>
      <w:r w:rsidRPr="00D97EEA">
        <w:rPr>
          <w:sz w:val="20"/>
          <w:szCs w:val="20"/>
          <w:lang w:val="da-DK"/>
        </w:rPr>
        <w:t xml:space="preserve">”) inte att betalas ut och överföras till depositarplånboken omedelbart, men alla betalningar och överföringar av sådana Staking-belöningar är föremål för reglerna i respektive underliggande protokoll. Betalning och överföring av enheterna av respektive underliggande kryptovaluta som tjänats som </w:t>
      </w:r>
      <w:proofErr w:type="spellStart"/>
      <w:r w:rsidRPr="00D97EEA">
        <w:rPr>
          <w:sz w:val="20"/>
          <w:szCs w:val="20"/>
          <w:lang w:val="da-DK"/>
        </w:rPr>
        <w:t>Staking-belöningar</w:t>
      </w:r>
      <w:proofErr w:type="spellEnd"/>
      <w:r w:rsidRPr="00D97EEA">
        <w:rPr>
          <w:sz w:val="20"/>
          <w:szCs w:val="20"/>
          <w:lang w:val="da-DK"/>
        </w:rPr>
        <w:t xml:space="preserve"> </w:t>
      </w:r>
      <w:proofErr w:type="spellStart"/>
      <w:r w:rsidRPr="00D97EEA">
        <w:rPr>
          <w:sz w:val="20"/>
          <w:szCs w:val="20"/>
          <w:lang w:val="da-DK"/>
        </w:rPr>
        <w:t>och</w:t>
      </w:r>
      <w:proofErr w:type="spellEnd"/>
      <w:r w:rsidRPr="00D97EEA">
        <w:rPr>
          <w:sz w:val="20"/>
          <w:szCs w:val="20"/>
          <w:lang w:val="da-DK"/>
        </w:rPr>
        <w:t xml:space="preserve"> </w:t>
      </w:r>
      <w:r w:rsidR="00AD59E4" w:rsidRPr="00D97EEA">
        <w:rPr>
          <w:sz w:val="20"/>
          <w:szCs w:val="20"/>
          <w:lang w:val="da-DK"/>
        </w:rPr>
        <w:t xml:space="preserve">deponeringen </w:t>
      </w:r>
      <w:r w:rsidRPr="00D97EEA">
        <w:rPr>
          <w:sz w:val="20"/>
          <w:szCs w:val="20"/>
          <w:lang w:val="da-DK"/>
        </w:rPr>
        <w:t xml:space="preserve">av </w:t>
      </w:r>
      <w:proofErr w:type="spellStart"/>
      <w:r w:rsidRPr="00D97EEA">
        <w:rPr>
          <w:sz w:val="20"/>
          <w:szCs w:val="20"/>
          <w:lang w:val="da-DK"/>
        </w:rPr>
        <w:t>sådana</w:t>
      </w:r>
      <w:proofErr w:type="spellEnd"/>
      <w:r w:rsidRPr="00D97EEA">
        <w:rPr>
          <w:sz w:val="20"/>
          <w:szCs w:val="20"/>
          <w:lang w:val="da-DK"/>
        </w:rPr>
        <w:t xml:space="preserve"> </w:t>
      </w:r>
      <w:proofErr w:type="spellStart"/>
      <w:r w:rsidRPr="00D97EEA">
        <w:rPr>
          <w:sz w:val="20"/>
          <w:szCs w:val="20"/>
          <w:lang w:val="da-DK"/>
        </w:rPr>
        <w:t>Staking-belöningar</w:t>
      </w:r>
      <w:proofErr w:type="spellEnd"/>
      <w:r w:rsidRPr="00D97EEA">
        <w:rPr>
          <w:sz w:val="20"/>
          <w:szCs w:val="20"/>
          <w:lang w:val="da-DK"/>
        </w:rPr>
        <w:t xml:space="preserve"> i depositarplånboken kan därför kräva en viss tid under vilken Staking-belöningarna inte utgör en del av den insatta kryptovalutan. Därmed kanske obligationsinnehavarna inte är tillräckligt skyddade vid en konkurs eller likvidation av Staking-leverantören av olika skäl under denna period.</w:t>
      </w:r>
    </w:p>
    <w:p w14:paraId="0FE7771E" w14:textId="354C8A0C" w:rsidR="00703A04" w:rsidRPr="00D97EEA" w:rsidRDefault="00703A04" w:rsidP="00703A04">
      <w:pPr>
        <w:pStyle w:val="wText1"/>
        <w:ind w:left="0"/>
        <w:rPr>
          <w:sz w:val="20"/>
          <w:szCs w:val="20"/>
          <w:lang w:val="da-DK"/>
        </w:rPr>
      </w:pPr>
      <w:r w:rsidRPr="00D97EEA">
        <w:rPr>
          <w:b/>
          <w:bCs/>
          <w:i/>
          <w:iCs/>
          <w:sz w:val="20"/>
          <w:szCs w:val="20"/>
          <w:lang w:val="da-DK"/>
        </w:rPr>
        <w:t xml:space="preserve">Obligationsinnehavare utsätts för risk för förluster om inlösen i kontanter misslyckas på grund av saknade köpordrar eller otillgänglighet av det </w:t>
      </w:r>
      <w:proofErr w:type="spellStart"/>
      <w:r w:rsidR="00AD59E4" w:rsidRPr="00D97EEA">
        <w:rPr>
          <w:b/>
          <w:bCs/>
          <w:i/>
          <w:iCs/>
          <w:sz w:val="20"/>
          <w:szCs w:val="20"/>
          <w:lang w:val="da-DK"/>
        </w:rPr>
        <w:t>nödvändiga</w:t>
      </w:r>
      <w:proofErr w:type="spellEnd"/>
      <w:r w:rsidR="00AD59E4" w:rsidRPr="00D97EEA">
        <w:rPr>
          <w:b/>
          <w:bCs/>
          <w:i/>
          <w:iCs/>
          <w:sz w:val="20"/>
          <w:szCs w:val="20"/>
          <w:lang w:val="da-DK"/>
        </w:rPr>
        <w:t xml:space="preserve"> </w:t>
      </w:r>
      <w:proofErr w:type="spellStart"/>
      <w:r w:rsidRPr="00D97EEA">
        <w:rPr>
          <w:b/>
          <w:bCs/>
          <w:i/>
          <w:iCs/>
          <w:sz w:val="20"/>
          <w:szCs w:val="20"/>
          <w:lang w:val="da-DK"/>
        </w:rPr>
        <w:t>referenspriset</w:t>
      </w:r>
      <w:proofErr w:type="spellEnd"/>
      <w:r w:rsidRPr="00D97EEA">
        <w:rPr>
          <w:b/>
          <w:bCs/>
          <w:i/>
          <w:iCs/>
          <w:sz w:val="20"/>
          <w:szCs w:val="20"/>
          <w:lang w:val="da-DK"/>
        </w:rPr>
        <w:t>:</w:t>
      </w:r>
      <w:r w:rsidRPr="00D97EEA">
        <w:rPr>
          <w:sz w:val="20"/>
          <w:szCs w:val="20"/>
          <w:lang w:val="da-DK"/>
        </w:rPr>
        <w:t xml:space="preserve"> Vid </w:t>
      </w:r>
      <w:proofErr w:type="spellStart"/>
      <w:r w:rsidRPr="00D97EEA">
        <w:rPr>
          <w:sz w:val="20"/>
          <w:szCs w:val="20"/>
          <w:lang w:val="da-DK"/>
        </w:rPr>
        <w:t>inlösen</w:t>
      </w:r>
      <w:proofErr w:type="spellEnd"/>
      <w:r w:rsidRPr="00D97EEA">
        <w:rPr>
          <w:sz w:val="20"/>
          <w:szCs w:val="20"/>
          <w:lang w:val="da-DK"/>
        </w:rPr>
        <w:t xml:space="preserve"> i kontanter måste emittenten arrangera ett kryptovalutaexekveringsförfarande för att lösa in obligationerna. Om ett sådant </w:t>
      </w:r>
      <w:r w:rsidR="00AD59E4" w:rsidRPr="00D97EEA">
        <w:rPr>
          <w:sz w:val="20"/>
          <w:szCs w:val="20"/>
          <w:lang w:val="da-DK"/>
        </w:rPr>
        <w:t xml:space="preserve">förfarande för </w:t>
      </w:r>
      <w:proofErr w:type="spellStart"/>
      <w:r w:rsidR="00AD59E4" w:rsidRPr="00D97EEA">
        <w:rPr>
          <w:sz w:val="20"/>
          <w:szCs w:val="20"/>
          <w:lang w:val="da-DK"/>
        </w:rPr>
        <w:t>utförande</w:t>
      </w:r>
      <w:proofErr w:type="spellEnd"/>
      <w:r w:rsidR="00AD59E4" w:rsidRPr="00D97EEA">
        <w:rPr>
          <w:sz w:val="20"/>
          <w:szCs w:val="20"/>
          <w:lang w:val="da-DK"/>
        </w:rPr>
        <w:t xml:space="preserve"> av </w:t>
      </w:r>
      <w:proofErr w:type="spellStart"/>
      <w:r w:rsidR="00AD59E4" w:rsidRPr="00D97EEA">
        <w:rPr>
          <w:sz w:val="20"/>
          <w:szCs w:val="20"/>
          <w:lang w:val="da-DK"/>
        </w:rPr>
        <w:t>kryptovaluta</w:t>
      </w:r>
      <w:proofErr w:type="spellEnd"/>
      <w:r w:rsidR="00AD59E4" w:rsidRPr="00D97EEA">
        <w:rPr>
          <w:sz w:val="20"/>
          <w:szCs w:val="20"/>
          <w:lang w:val="da-DK"/>
        </w:rPr>
        <w:t xml:space="preserve"> </w:t>
      </w:r>
      <w:proofErr w:type="spellStart"/>
      <w:r w:rsidRPr="00D97EEA">
        <w:rPr>
          <w:sz w:val="20"/>
          <w:szCs w:val="20"/>
          <w:lang w:val="da-DK"/>
        </w:rPr>
        <w:t>misslyckas</w:t>
      </w:r>
      <w:proofErr w:type="spellEnd"/>
      <w:r w:rsidRPr="00D97EEA">
        <w:rPr>
          <w:sz w:val="20"/>
          <w:szCs w:val="20"/>
          <w:lang w:val="da-DK"/>
        </w:rPr>
        <w:t xml:space="preserve"> av </w:t>
      </w:r>
      <w:proofErr w:type="spellStart"/>
      <w:r w:rsidRPr="00D97EEA">
        <w:rPr>
          <w:sz w:val="20"/>
          <w:szCs w:val="20"/>
          <w:lang w:val="da-DK"/>
        </w:rPr>
        <w:t>någon</w:t>
      </w:r>
      <w:proofErr w:type="spellEnd"/>
      <w:r w:rsidRPr="00D97EEA">
        <w:rPr>
          <w:sz w:val="20"/>
          <w:szCs w:val="20"/>
          <w:lang w:val="da-DK"/>
        </w:rPr>
        <w:t xml:space="preserve"> anledning, inklusive men inte begränsat till</w:t>
      </w:r>
      <w:r w:rsidR="00DE0BE6" w:rsidRPr="00D97EEA">
        <w:rPr>
          <w:sz w:val="20"/>
          <w:szCs w:val="20"/>
          <w:lang w:val="da-DK"/>
        </w:rPr>
        <w:t>,</w:t>
      </w:r>
      <w:r w:rsidRPr="00D97EEA">
        <w:rPr>
          <w:sz w:val="20"/>
          <w:szCs w:val="20"/>
          <w:lang w:val="da-DK"/>
        </w:rPr>
        <w:t xml:space="preserve"> på grund av en störning av tillgängligheten till referenspriset för den underliggande kryptovalutan, riskerar obligationsinnehavarna att obligationerna inte kan inlösas i kontanter hos emittenten och endast kan säljas på sekundärmarknaden.</w:t>
      </w:r>
    </w:p>
    <w:p w14:paraId="0BE84AB6" w14:textId="5458D04A" w:rsidR="00703A04" w:rsidRPr="00D97EEA" w:rsidRDefault="00703A04" w:rsidP="00703A04">
      <w:pPr>
        <w:pStyle w:val="wText1"/>
        <w:spacing w:after="60"/>
        <w:ind w:left="0"/>
        <w:rPr>
          <w:sz w:val="20"/>
          <w:szCs w:val="20"/>
          <w:lang w:val="sv-SE"/>
        </w:rPr>
      </w:pPr>
      <w:r w:rsidRPr="00D97EEA">
        <w:rPr>
          <w:b/>
          <w:bCs/>
          <w:i/>
          <w:iCs/>
          <w:sz w:val="20"/>
          <w:szCs w:val="20"/>
          <w:lang w:val="sv-SE"/>
        </w:rPr>
        <w:t xml:space="preserve">Risker </w:t>
      </w:r>
      <w:r w:rsidR="00DE0BE6" w:rsidRPr="00D97EEA">
        <w:rPr>
          <w:b/>
          <w:bCs/>
          <w:i/>
          <w:iCs/>
          <w:sz w:val="20"/>
          <w:szCs w:val="20"/>
          <w:lang w:val="sv-SE"/>
        </w:rPr>
        <w:t xml:space="preserve">relaterade </w:t>
      </w:r>
      <w:r w:rsidRPr="00D97EEA">
        <w:rPr>
          <w:b/>
          <w:bCs/>
          <w:i/>
          <w:iCs/>
          <w:sz w:val="20"/>
          <w:szCs w:val="20"/>
          <w:lang w:val="sv-SE"/>
        </w:rPr>
        <w:t>till frivillig inlösen:</w:t>
      </w:r>
      <w:r w:rsidRPr="00D97EEA">
        <w:rPr>
          <w:i/>
          <w:iCs/>
          <w:sz w:val="20"/>
          <w:szCs w:val="20"/>
          <w:lang w:val="sv-SE"/>
        </w:rPr>
        <w:t xml:space="preserve"> </w:t>
      </w:r>
      <w:r w:rsidRPr="00D97EEA">
        <w:rPr>
          <w:sz w:val="20"/>
          <w:szCs w:val="20"/>
          <w:lang w:val="sv-SE"/>
        </w:rPr>
        <w:t>Investerare i obligationerna har rätt att begära frivillig inlösen och</w:t>
      </w:r>
      <w:r w:rsidR="00DE0BE6" w:rsidRPr="00D97EEA">
        <w:rPr>
          <w:sz w:val="20"/>
          <w:szCs w:val="20"/>
          <w:lang w:val="sv-SE"/>
        </w:rPr>
        <w:t xml:space="preserve"> att</w:t>
      </w:r>
      <w:r w:rsidRPr="00D97EEA">
        <w:rPr>
          <w:sz w:val="20"/>
          <w:szCs w:val="20"/>
          <w:lang w:val="sv-SE"/>
        </w:rPr>
        <w:t xml:space="preserve"> lösa in obligationer hos emittenten mot betalning av rätten till kryptovaluta. </w:t>
      </w:r>
      <w:r w:rsidRPr="00D97EEA">
        <w:rPr>
          <w:sz w:val="20"/>
          <w:szCs w:val="20"/>
          <w:lang w:val="da-DK"/>
        </w:rPr>
        <w:t xml:space="preserve">Investerare kanske dock inte kan utnyttja denna rätt, om de inte lämnar tillräcklig information </w:t>
      </w:r>
      <w:proofErr w:type="gramStart"/>
      <w:r w:rsidRPr="00D97EEA">
        <w:rPr>
          <w:sz w:val="20"/>
          <w:szCs w:val="20"/>
          <w:lang w:val="da-DK"/>
        </w:rPr>
        <w:t>till emittenten</w:t>
      </w:r>
      <w:proofErr w:type="gramEnd"/>
      <w:r w:rsidRPr="00D97EEA">
        <w:rPr>
          <w:sz w:val="20"/>
          <w:szCs w:val="20"/>
          <w:lang w:val="da-DK"/>
        </w:rPr>
        <w:t xml:space="preserve"> i enlighet med villkoren. Dessutom</w:t>
      </w:r>
      <w:r w:rsidR="00DE0BE6" w:rsidRPr="00D97EEA">
        <w:rPr>
          <w:sz w:val="20"/>
          <w:szCs w:val="20"/>
          <w:lang w:val="da-DK"/>
        </w:rPr>
        <w:t>,</w:t>
      </w:r>
      <w:r w:rsidRPr="00D97EEA">
        <w:rPr>
          <w:sz w:val="20"/>
          <w:szCs w:val="20"/>
          <w:lang w:val="da-DK"/>
        </w:rPr>
        <w:t xml:space="preserve"> om obligationsinnehavare utnyttjar sin rätt till frivillig inlösen och begär kontantavräkning, utgör emittentens förpliktelser att överlåta US-dollar till sådan obligationsinnehavare, efter det att de berörda obligationerna har överlåtits </w:t>
      </w:r>
      <w:proofErr w:type="gramStart"/>
      <w:r w:rsidRPr="00D97EEA">
        <w:rPr>
          <w:sz w:val="20"/>
          <w:szCs w:val="20"/>
          <w:lang w:val="da-DK"/>
        </w:rPr>
        <w:t>till emittenten</w:t>
      </w:r>
      <w:proofErr w:type="gramEnd"/>
      <w:r w:rsidRPr="00D97EEA">
        <w:rPr>
          <w:sz w:val="20"/>
          <w:szCs w:val="20"/>
          <w:lang w:val="da-DK"/>
        </w:rPr>
        <w:t>, emittentens osäkrade förpliktelser. Endast avräkningsförpliktelser i samband med frivillig inlösen med fysisk avräkning (”</w:t>
      </w:r>
      <w:r w:rsidRPr="00D97EEA">
        <w:rPr>
          <w:b/>
          <w:bCs/>
          <w:sz w:val="20"/>
          <w:szCs w:val="20"/>
          <w:lang w:val="da-DK"/>
        </w:rPr>
        <w:t>säkrade inlösenförpliktelser</w:t>
      </w:r>
      <w:r w:rsidRPr="00D97EEA">
        <w:rPr>
          <w:sz w:val="20"/>
          <w:szCs w:val="20"/>
          <w:lang w:val="da-DK"/>
        </w:rPr>
        <w:t xml:space="preserve">”) utgör emittentens säkerställda förpliktelser. En obligationsinnehavares begäran av betalning i kontanter på grund av frivillig inlösen med kontantavräkning kommer endast att avgöras efter det att den berörda obligationsinnehavaren har levererat obligationerna </w:t>
      </w:r>
      <w:proofErr w:type="gramStart"/>
      <w:r w:rsidRPr="00D97EEA">
        <w:rPr>
          <w:sz w:val="20"/>
          <w:szCs w:val="20"/>
          <w:lang w:val="da-DK"/>
        </w:rPr>
        <w:t>till emittenten</w:t>
      </w:r>
      <w:proofErr w:type="gramEnd"/>
      <w:r w:rsidRPr="00D97EEA">
        <w:rPr>
          <w:sz w:val="20"/>
          <w:szCs w:val="20"/>
          <w:lang w:val="da-DK"/>
        </w:rPr>
        <w:t xml:space="preserve"> och, under perioden från leverans av obligationerna till faktisk betalning av US-dollar, kommer den berörda obligationsinnehavaren inte längre vara ägare till obligationen och har inte heller någon säkerställd fordran mot emittenten.</w:t>
      </w:r>
    </w:p>
    <w:p w14:paraId="10E01D3C" w14:textId="5E2BCA7E" w:rsidR="00703A04" w:rsidRPr="00D97EEA" w:rsidRDefault="00703A04" w:rsidP="00703A04">
      <w:pPr>
        <w:pStyle w:val="wText1"/>
        <w:ind w:left="0"/>
        <w:rPr>
          <w:sz w:val="20"/>
          <w:szCs w:val="20"/>
          <w:lang w:val="da-DK"/>
        </w:rPr>
      </w:pPr>
      <w:r w:rsidRPr="00D97EEA">
        <w:rPr>
          <w:b/>
          <w:bCs/>
          <w:i/>
          <w:iCs/>
          <w:sz w:val="20"/>
          <w:szCs w:val="20"/>
          <w:lang w:val="sv-SE"/>
        </w:rPr>
        <w:t>Tvångsinlösen:</w:t>
      </w:r>
      <w:r w:rsidRPr="00D97EEA">
        <w:rPr>
          <w:sz w:val="20"/>
          <w:szCs w:val="20"/>
          <w:lang w:val="sv-SE"/>
        </w:rPr>
        <w:t xml:space="preserve"> Vid vissa händelser </w:t>
      </w:r>
      <w:r w:rsidR="00447A21" w:rsidRPr="00D97EEA">
        <w:rPr>
          <w:sz w:val="20"/>
          <w:szCs w:val="20"/>
          <w:lang w:val="sv-SE"/>
        </w:rPr>
        <w:t xml:space="preserve">som specificeras ytterligare </w:t>
      </w:r>
      <w:r w:rsidRPr="00D97EEA">
        <w:rPr>
          <w:sz w:val="20"/>
          <w:szCs w:val="20"/>
          <w:lang w:val="sv-SE"/>
        </w:rPr>
        <w:t>i villkoren</w:t>
      </w:r>
      <w:r w:rsidR="00447A21" w:rsidRPr="00D97EEA">
        <w:rPr>
          <w:sz w:val="20"/>
          <w:szCs w:val="20"/>
          <w:lang w:val="sv-SE"/>
        </w:rPr>
        <w:t>,</w:t>
      </w:r>
      <w:r w:rsidRPr="00D97EEA">
        <w:rPr>
          <w:sz w:val="20"/>
          <w:szCs w:val="20"/>
          <w:lang w:val="sv-SE"/>
        </w:rPr>
        <w:t xml:space="preserve"> kan </w:t>
      </w:r>
      <w:proofErr w:type="spellStart"/>
      <w:r w:rsidRPr="00D97EEA">
        <w:rPr>
          <w:sz w:val="20"/>
          <w:szCs w:val="20"/>
          <w:lang w:val="sv-SE"/>
        </w:rPr>
        <w:t>emittenten</w:t>
      </w:r>
      <w:proofErr w:type="spellEnd"/>
      <w:r w:rsidRPr="00D97EEA">
        <w:rPr>
          <w:sz w:val="20"/>
          <w:szCs w:val="20"/>
          <w:lang w:val="sv-SE"/>
        </w:rPr>
        <w:t xml:space="preserve"> när som helst (men är inte skyldig</w:t>
      </w:r>
      <w:r w:rsidR="00447A21" w:rsidRPr="00D97EEA">
        <w:rPr>
          <w:sz w:val="20"/>
          <w:szCs w:val="20"/>
          <w:lang w:val="sv-SE"/>
        </w:rPr>
        <w:t xml:space="preserve"> att</w:t>
      </w:r>
      <w:r w:rsidRPr="00D97EEA">
        <w:rPr>
          <w:sz w:val="20"/>
          <w:szCs w:val="20"/>
          <w:lang w:val="sv-SE"/>
        </w:rPr>
        <w:t>)</w:t>
      </w:r>
      <w:r w:rsidR="00447A21" w:rsidRPr="00D97EEA">
        <w:rPr>
          <w:sz w:val="20"/>
          <w:szCs w:val="20"/>
          <w:lang w:val="sv-SE"/>
        </w:rPr>
        <w:t xml:space="preserve"> när som helst, efter </w:t>
      </w:r>
      <w:r w:rsidRPr="00D97EEA">
        <w:rPr>
          <w:sz w:val="20"/>
          <w:szCs w:val="20"/>
          <w:lang w:val="sv-SE"/>
        </w:rPr>
        <w:t xml:space="preserve">eget och absolut gottfinnande, välja att </w:t>
      </w:r>
      <w:r w:rsidR="00447A21" w:rsidRPr="00D97EEA">
        <w:rPr>
          <w:sz w:val="20"/>
          <w:szCs w:val="20"/>
          <w:lang w:val="sv-SE"/>
        </w:rPr>
        <w:t xml:space="preserve">avsluta </w:t>
      </w:r>
      <w:r w:rsidRPr="00D97EEA">
        <w:rPr>
          <w:sz w:val="20"/>
          <w:szCs w:val="20"/>
          <w:lang w:val="sv-SE"/>
        </w:rPr>
        <w:t xml:space="preserve">och lösa in alla men inte vissa av obligationerna till </w:t>
      </w:r>
      <w:r w:rsidR="00447A21" w:rsidRPr="00D97EEA">
        <w:rPr>
          <w:sz w:val="20"/>
          <w:szCs w:val="20"/>
          <w:lang w:val="sv-SE"/>
        </w:rPr>
        <w:t xml:space="preserve">deras </w:t>
      </w:r>
      <w:r w:rsidRPr="00D97EEA">
        <w:rPr>
          <w:sz w:val="20"/>
          <w:szCs w:val="20"/>
          <w:lang w:val="sv-SE"/>
        </w:rPr>
        <w:t xml:space="preserve">tvångsinlösenkurs, som är (i) ett belopp som motsvarar rätten till kryptovaluta, eller (ii) om en obligationsinnehavare väljer inlösen i kontanter, intäkterna från </w:t>
      </w:r>
      <w:r w:rsidR="00447A21" w:rsidRPr="00D97EEA">
        <w:rPr>
          <w:sz w:val="20"/>
          <w:szCs w:val="20"/>
          <w:lang w:val="sv-SE"/>
        </w:rPr>
        <w:t xml:space="preserve">Utförandeproceduren för Kryptovaluta </w:t>
      </w:r>
      <w:r w:rsidRPr="00D97EEA">
        <w:rPr>
          <w:sz w:val="20"/>
          <w:szCs w:val="20"/>
          <w:lang w:val="sv-SE"/>
        </w:rPr>
        <w:t>relaterad till kryptovaluta</w:t>
      </w:r>
      <w:r w:rsidR="00447A21" w:rsidRPr="00D97EEA">
        <w:rPr>
          <w:sz w:val="20"/>
          <w:szCs w:val="20"/>
          <w:lang w:val="sv-SE"/>
        </w:rPr>
        <w:t>n</w:t>
      </w:r>
      <w:r w:rsidRPr="00D97EEA">
        <w:rPr>
          <w:sz w:val="20"/>
          <w:szCs w:val="20"/>
          <w:lang w:val="sv-SE"/>
        </w:rPr>
        <w:t xml:space="preserve"> som motsvarar rätten till kryptovaluta</w:t>
      </w:r>
      <w:r w:rsidR="00447A21" w:rsidRPr="00D97EEA">
        <w:rPr>
          <w:sz w:val="20"/>
          <w:szCs w:val="20"/>
          <w:lang w:val="sv-SE"/>
        </w:rPr>
        <w:t>n</w:t>
      </w:r>
      <w:r w:rsidRPr="00D97EEA">
        <w:rPr>
          <w:sz w:val="20"/>
          <w:szCs w:val="20"/>
          <w:lang w:val="sv-SE"/>
        </w:rPr>
        <w:t xml:space="preserve"> från och med aktuellt datum för tvångsinlösen, med avdrag för eventuella rimliga </w:t>
      </w:r>
      <w:r w:rsidR="00447A21" w:rsidRPr="00D97EEA">
        <w:rPr>
          <w:sz w:val="20"/>
          <w:szCs w:val="20"/>
          <w:lang w:val="sv-SE"/>
        </w:rPr>
        <w:t>tredjepartsavgifter relaterade</w:t>
      </w:r>
      <w:r w:rsidRPr="00D97EEA">
        <w:rPr>
          <w:sz w:val="20"/>
          <w:szCs w:val="20"/>
          <w:lang w:val="sv-SE"/>
        </w:rPr>
        <w:t xml:space="preserve"> till inlösen av obligationerna (”</w:t>
      </w:r>
      <w:r w:rsidRPr="00D97EEA">
        <w:rPr>
          <w:b/>
          <w:bCs/>
          <w:sz w:val="20"/>
          <w:szCs w:val="20"/>
          <w:lang w:val="sv-SE"/>
        </w:rPr>
        <w:t>tvångsinlösenkursen</w:t>
      </w:r>
      <w:r w:rsidRPr="00D97EEA">
        <w:rPr>
          <w:sz w:val="20"/>
          <w:szCs w:val="20"/>
          <w:lang w:val="sv-SE"/>
        </w:rPr>
        <w:t xml:space="preserve">”). När emittenten utövar </w:t>
      </w:r>
      <w:proofErr w:type="gramStart"/>
      <w:r w:rsidRPr="00D97EEA">
        <w:rPr>
          <w:sz w:val="20"/>
          <w:szCs w:val="20"/>
          <w:lang w:val="sv-SE"/>
        </w:rPr>
        <w:t xml:space="preserve">sådant </w:t>
      </w:r>
      <w:r w:rsidR="00447A21" w:rsidRPr="00D97EEA">
        <w:rPr>
          <w:sz w:val="20"/>
          <w:szCs w:val="20"/>
          <w:lang w:val="sv-SE"/>
        </w:rPr>
        <w:t>diskretion</w:t>
      </w:r>
      <w:proofErr w:type="gramEnd"/>
      <w:r w:rsidR="00447A21" w:rsidRPr="00D97EEA">
        <w:rPr>
          <w:sz w:val="20"/>
          <w:szCs w:val="20"/>
          <w:lang w:val="sv-SE"/>
        </w:rPr>
        <w:t xml:space="preserve"> </w:t>
      </w:r>
      <w:r w:rsidRPr="00D97EEA">
        <w:rPr>
          <w:sz w:val="20"/>
          <w:szCs w:val="20"/>
          <w:lang w:val="sv-SE"/>
        </w:rPr>
        <w:t xml:space="preserve">är den inte skyldig att ta hänsyn till obligationsinnehavarnas intressen, och obligationsinnehavarna kan erhålla mindre eller väsentligt mindre än </w:t>
      </w:r>
      <w:r w:rsidR="00D57D07" w:rsidRPr="00D97EEA">
        <w:rPr>
          <w:sz w:val="20"/>
          <w:szCs w:val="20"/>
          <w:lang w:val="sv-SE"/>
        </w:rPr>
        <w:t>deras initiala</w:t>
      </w:r>
      <w:r w:rsidRPr="00D97EEA">
        <w:rPr>
          <w:sz w:val="20"/>
          <w:szCs w:val="20"/>
          <w:lang w:val="sv-SE"/>
        </w:rPr>
        <w:t xml:space="preserve"> investering. Tvångsinlösenkursen för de obligationer som löses in i kontanter kan vara lägre eller väsentligt lägre än den motsvarande kryptovalutakursen, eftersom emittenten kommer försöka sälja kryptovaluta med kryptovalutaexekveringsförfarande; och alla risker relaterade till försäljning av kryptovaluta enligt beskrivningen ovan är tillämpliga. Dessutom kan tvångsinlösen leda till att vissa eller alla obligationsinnehavare, på ett datum som är tidigare än planerat eller förutsett, avyttrar obligationerna i skatteändamål. </w:t>
      </w:r>
      <w:r w:rsidRPr="00D97EEA">
        <w:rPr>
          <w:sz w:val="20"/>
          <w:szCs w:val="20"/>
          <w:lang w:val="da-DK"/>
        </w:rPr>
        <w:t>Det kan leda till mindre gynnsam skattebehandling av investeringen i obligationerna för sådana obligationsinnehavare än hur den annars skulle varit om investeringen behölls under en längre tidsperiod.</w:t>
      </w:r>
    </w:p>
    <w:p w14:paraId="71AB071A" w14:textId="51043CB5" w:rsidR="00703A04" w:rsidRPr="00D97EEA" w:rsidRDefault="00703A04" w:rsidP="00703A04">
      <w:pPr>
        <w:pStyle w:val="wText1"/>
        <w:ind w:left="0"/>
        <w:rPr>
          <w:sz w:val="20"/>
          <w:szCs w:val="20"/>
          <w:lang w:val="sv-SE"/>
        </w:rPr>
      </w:pPr>
      <w:r w:rsidRPr="00D97EEA">
        <w:rPr>
          <w:b/>
          <w:bCs/>
          <w:i/>
          <w:iCs/>
          <w:sz w:val="20"/>
          <w:szCs w:val="20"/>
          <w:lang w:val="da-DK"/>
        </w:rPr>
        <w:t>Risker relaterade till justeringshändelser:</w:t>
      </w:r>
      <w:r w:rsidRPr="00D97EEA">
        <w:rPr>
          <w:sz w:val="20"/>
          <w:szCs w:val="20"/>
          <w:lang w:val="da-DK"/>
        </w:rPr>
        <w:t xml:space="preserve"> Vid inträffandet av vissa händelser relaterade till den underliggande kryptovalutan som påverkar den underliggande kryptovalutan och/eller rätten till kryptovaluta, vilket medför ett behov av justeringar av den underliggande kryptovalutan och/eller rätten till kryptovaluta (varje sådan händelse benämns som en ”</w:t>
      </w:r>
      <w:r w:rsidRPr="00D97EEA">
        <w:rPr>
          <w:b/>
          <w:bCs/>
          <w:sz w:val="20"/>
          <w:szCs w:val="20"/>
          <w:lang w:val="da-DK"/>
        </w:rPr>
        <w:t>justeringshändelse</w:t>
      </w:r>
      <w:r w:rsidRPr="00D97EEA">
        <w:rPr>
          <w:sz w:val="20"/>
          <w:szCs w:val="20"/>
          <w:lang w:val="da-DK"/>
        </w:rPr>
        <w:t xml:space="preserve">”), ska emittenten, om det anses lämpligt enligt dess uppfattning (i) göra en justering av rätten till kryptovaluta för att kompensera för den ekonomiska effekten på obligationerna av sådana händelser, (ii) </w:t>
      </w:r>
      <w:proofErr w:type="spellStart"/>
      <w:r w:rsidR="00D57D07" w:rsidRPr="00D97EEA">
        <w:rPr>
          <w:sz w:val="20"/>
          <w:szCs w:val="20"/>
          <w:lang w:val="da-DK"/>
        </w:rPr>
        <w:t>avbryta</w:t>
      </w:r>
      <w:proofErr w:type="spellEnd"/>
      <w:r w:rsidR="00D57D07" w:rsidRPr="00D97EEA">
        <w:rPr>
          <w:sz w:val="20"/>
          <w:szCs w:val="20"/>
          <w:lang w:val="da-DK"/>
        </w:rPr>
        <w:t xml:space="preserve"> </w:t>
      </w:r>
      <w:proofErr w:type="spellStart"/>
      <w:r w:rsidR="00D57D07" w:rsidRPr="00D97EEA">
        <w:rPr>
          <w:sz w:val="20"/>
          <w:szCs w:val="20"/>
          <w:lang w:val="da-DK"/>
        </w:rPr>
        <w:t>planerade</w:t>
      </w:r>
      <w:proofErr w:type="spellEnd"/>
      <w:r w:rsidR="00D57D07" w:rsidRPr="00D97EEA">
        <w:rPr>
          <w:sz w:val="20"/>
          <w:szCs w:val="20"/>
          <w:lang w:val="da-DK"/>
        </w:rPr>
        <w:t xml:space="preserve"> </w:t>
      </w:r>
      <w:proofErr w:type="spellStart"/>
      <w:r w:rsidR="00D57D07" w:rsidRPr="00D97EEA">
        <w:rPr>
          <w:sz w:val="20"/>
          <w:szCs w:val="20"/>
          <w:lang w:val="da-DK"/>
        </w:rPr>
        <w:t>ombalanseringar</w:t>
      </w:r>
      <w:proofErr w:type="spellEnd"/>
      <w:r w:rsidR="00D57D07" w:rsidRPr="00D97EEA">
        <w:rPr>
          <w:sz w:val="20"/>
          <w:szCs w:val="20"/>
          <w:lang w:val="da-DK"/>
        </w:rPr>
        <w:t xml:space="preserve"> </w:t>
      </w:r>
      <w:r w:rsidRPr="00D97EEA">
        <w:rPr>
          <w:sz w:val="20"/>
          <w:szCs w:val="20"/>
          <w:lang w:val="da-DK"/>
        </w:rPr>
        <w:t xml:space="preserve">av </w:t>
      </w:r>
      <w:proofErr w:type="spellStart"/>
      <w:r w:rsidRPr="00D97EEA">
        <w:rPr>
          <w:sz w:val="20"/>
          <w:szCs w:val="20"/>
          <w:lang w:val="da-DK"/>
        </w:rPr>
        <w:t>indexet</w:t>
      </w:r>
      <w:proofErr w:type="spellEnd"/>
      <w:r w:rsidRPr="00D97EEA">
        <w:rPr>
          <w:sz w:val="20"/>
          <w:szCs w:val="20"/>
          <w:lang w:val="da-DK"/>
        </w:rPr>
        <w:t xml:space="preserve">, eller (iii) ersätta det relevanta underliggande indexet med ett liknande nytt index. Beroende på den specifika åtgärd som emittenten vidtar som svar på en justeringshändelse, kan värdet av rätten till kryptovaluta och obligationerna utvecklas på olika sätt och avkastningen för obligationsinnehavarna kan bli lägre (eller betydligt lägre) än vad som skulle </w:t>
      </w:r>
      <w:proofErr w:type="gramStart"/>
      <w:r w:rsidRPr="00D97EEA">
        <w:rPr>
          <w:sz w:val="20"/>
          <w:szCs w:val="20"/>
          <w:lang w:val="da-DK"/>
        </w:rPr>
        <w:t>ha</w:t>
      </w:r>
      <w:proofErr w:type="gramEnd"/>
      <w:r w:rsidRPr="00D97EEA">
        <w:rPr>
          <w:sz w:val="20"/>
          <w:szCs w:val="20"/>
          <w:lang w:val="da-DK"/>
        </w:rPr>
        <w:t xml:space="preserve"> varit fallet om justeringshändelsen inte hade inträffat.</w:t>
      </w:r>
    </w:p>
    <w:p w14:paraId="7B1E2B8D" w14:textId="2A99CC0A" w:rsidR="009D4A74" w:rsidRPr="00D97EEA" w:rsidRDefault="009D4A74" w:rsidP="009D4A74">
      <w:pPr>
        <w:pStyle w:val="wText1"/>
        <w:keepNext/>
        <w:spacing w:after="60"/>
        <w:ind w:left="0"/>
        <w:rPr>
          <w:b/>
          <w:sz w:val="20"/>
          <w:szCs w:val="20"/>
          <w:lang w:val="sv-SE"/>
        </w:rPr>
      </w:pPr>
      <w:r w:rsidRPr="00D97EEA">
        <w:rPr>
          <w:b/>
          <w:sz w:val="20"/>
          <w:szCs w:val="20"/>
          <w:lang w:val="sv-SE"/>
        </w:rPr>
        <w:lastRenderedPageBreak/>
        <w:t xml:space="preserve">Risker </w:t>
      </w:r>
      <w:r w:rsidR="009D1CB2" w:rsidRPr="00D97EEA">
        <w:rPr>
          <w:b/>
          <w:sz w:val="20"/>
          <w:szCs w:val="20"/>
          <w:lang w:val="sv-SE"/>
        </w:rPr>
        <w:t xml:space="preserve">relaterade </w:t>
      </w:r>
      <w:r w:rsidRPr="00D97EEA">
        <w:rPr>
          <w:b/>
          <w:sz w:val="20"/>
          <w:szCs w:val="20"/>
          <w:lang w:val="sv-SE"/>
        </w:rPr>
        <w:t>till obligationens säkerhet</w:t>
      </w:r>
    </w:p>
    <w:p w14:paraId="4A48A9F3" w14:textId="53184ADE" w:rsidR="00FF534B" w:rsidRPr="00D97EEA" w:rsidRDefault="00FF534B" w:rsidP="009D4A74">
      <w:pPr>
        <w:pStyle w:val="wText1"/>
        <w:ind w:left="0"/>
        <w:rPr>
          <w:sz w:val="20"/>
          <w:szCs w:val="20"/>
          <w:lang w:val="sv-SE"/>
        </w:rPr>
      </w:pPr>
    </w:p>
    <w:p w14:paraId="1CC75EC2" w14:textId="69355EC4" w:rsidR="00FF534B" w:rsidRPr="00D97EEA" w:rsidRDefault="00FF534B" w:rsidP="009D4A74">
      <w:pPr>
        <w:pStyle w:val="wText1"/>
        <w:ind w:left="0"/>
        <w:rPr>
          <w:sz w:val="20"/>
          <w:szCs w:val="20"/>
          <w:lang w:val="sv-SE"/>
        </w:rPr>
      </w:pPr>
      <w:r w:rsidRPr="00D97EEA">
        <w:rPr>
          <w:i/>
          <w:iCs/>
          <w:sz w:val="20"/>
          <w:szCs w:val="20"/>
          <w:lang w:val="sv-SE"/>
        </w:rPr>
        <w:t>Säkerhet som beviljats för att säkra obligationerna kan vara ogenomförbar eller verkställandet av säkerheten kan försenas:</w:t>
      </w:r>
      <w:r w:rsidRPr="00D97EEA">
        <w:rPr>
          <w:sz w:val="20"/>
          <w:szCs w:val="20"/>
          <w:lang w:val="sv-SE"/>
        </w:rPr>
        <w:t xml:space="preserve"> Emittenten har åtagit sig (med vissa undantag) att </w:t>
      </w:r>
      <w:r w:rsidR="009D1CB2" w:rsidRPr="00D97EEA">
        <w:rPr>
          <w:sz w:val="20"/>
          <w:szCs w:val="20"/>
          <w:lang w:val="sv-SE"/>
        </w:rPr>
        <w:t xml:space="preserve">alltid ha </w:t>
      </w:r>
      <w:r w:rsidRPr="00D97EEA">
        <w:rPr>
          <w:sz w:val="20"/>
          <w:szCs w:val="20"/>
          <w:lang w:val="sv-SE"/>
        </w:rPr>
        <w:t>ett belopp i kryptovaluta som är lika med eller högre än det belopp för säkerställda förpliktelser som alltid finns insatta hos förvaringsinstitutet och har skapat ett säkerhetsintresse avseende rättigheter och krav som uppstår i samband med förvaringsinstitutets plånbok till förmån för obligationsinnehavarna. Dessa säkerhetsarrangemang kanske inte är tillräckliga för att skydda obligationsinnehavarna i händelse av att emittenten eller förvaringsinstitutet går i konkurs eller likvideras på grund av olika skäl.</w:t>
      </w:r>
    </w:p>
    <w:p w14:paraId="0C4DED8E" w14:textId="3F817BD1" w:rsidR="009D4A74" w:rsidRPr="00D97EEA" w:rsidRDefault="009D4A74" w:rsidP="009D4A74">
      <w:pPr>
        <w:pStyle w:val="wText1"/>
        <w:keepNext/>
        <w:spacing w:after="60"/>
        <w:ind w:left="0"/>
        <w:rPr>
          <w:b/>
          <w:sz w:val="20"/>
          <w:szCs w:val="20"/>
          <w:lang w:val="sv-SE"/>
        </w:rPr>
      </w:pPr>
      <w:r w:rsidRPr="00D97EEA">
        <w:rPr>
          <w:b/>
          <w:sz w:val="20"/>
          <w:szCs w:val="20"/>
          <w:lang w:val="sv-SE"/>
        </w:rPr>
        <w:t xml:space="preserve">Risker </w:t>
      </w:r>
      <w:r w:rsidR="009D1CB2" w:rsidRPr="00D97EEA">
        <w:rPr>
          <w:b/>
          <w:sz w:val="20"/>
          <w:szCs w:val="20"/>
          <w:lang w:val="sv-SE"/>
        </w:rPr>
        <w:t xml:space="preserve">relaterade </w:t>
      </w:r>
      <w:r w:rsidRPr="00D97EEA">
        <w:rPr>
          <w:b/>
          <w:sz w:val="20"/>
          <w:szCs w:val="20"/>
          <w:lang w:val="sv-SE"/>
        </w:rPr>
        <w:t xml:space="preserve">till </w:t>
      </w:r>
      <w:r w:rsidR="00FF534B" w:rsidRPr="00D97EEA">
        <w:rPr>
          <w:b/>
          <w:sz w:val="20"/>
          <w:szCs w:val="20"/>
          <w:lang w:val="sv-SE"/>
        </w:rPr>
        <w:t xml:space="preserve">ETH </w:t>
      </w:r>
      <w:r w:rsidRPr="00D97EEA">
        <w:rPr>
          <w:b/>
          <w:sz w:val="20"/>
          <w:szCs w:val="20"/>
          <w:lang w:val="sv-SE"/>
        </w:rPr>
        <w:t>som underliggande kryptovaluta</w:t>
      </w:r>
    </w:p>
    <w:p w14:paraId="249F2094" w14:textId="3D5C0675" w:rsidR="009D4A74" w:rsidRPr="00D97EEA" w:rsidRDefault="009D4A74" w:rsidP="009D4A74">
      <w:pPr>
        <w:pStyle w:val="wText1"/>
        <w:spacing w:after="60"/>
        <w:ind w:left="0"/>
        <w:rPr>
          <w:sz w:val="20"/>
          <w:szCs w:val="20"/>
          <w:lang w:val="sv-SE"/>
        </w:rPr>
      </w:pPr>
    </w:p>
    <w:p w14:paraId="30CCC1E3" w14:textId="5A0137C2" w:rsidR="00FF534B" w:rsidRPr="00D97EEA" w:rsidRDefault="00FF534B" w:rsidP="00FF534B">
      <w:pPr>
        <w:pStyle w:val="wText1"/>
        <w:spacing w:after="60"/>
        <w:ind w:left="0"/>
        <w:rPr>
          <w:sz w:val="20"/>
          <w:szCs w:val="20"/>
          <w:lang w:val="sv-SE"/>
        </w:rPr>
      </w:pPr>
      <w:r w:rsidRPr="00D97EEA">
        <w:rPr>
          <w:i/>
          <w:iCs/>
          <w:sz w:val="20"/>
          <w:szCs w:val="20"/>
          <w:lang w:val="sv-SE"/>
        </w:rPr>
        <w:t>Kursvolatiliteten för kryptovalutan:</w:t>
      </w:r>
      <w:r w:rsidRPr="00D97EEA">
        <w:rPr>
          <w:sz w:val="20"/>
          <w:szCs w:val="20"/>
          <w:lang w:val="sv-SE"/>
        </w:rPr>
        <w:t xml:space="preserve"> Obligationernas värde påverkas av kursen på den underliggande kryptovalutan. Kursen på kryptovalutan varierar kraftigt och kan till exempel påverkas av globala och regionala politiska, ekonomiska eller finansiella händelser, regleringsmässiga händelser eller uttalanden från tillsynsmyndigheter, investeringshandel, säkring eller andra aktiviteter från ett brett spektrum av marknadsaktörer, förgreningar i underliggande protokoll, störningar i infrastrukturen eller metoder för att producera, distribuera, lagra och handla med kryptotillgångar. </w:t>
      </w:r>
      <w:r w:rsidRPr="00D97EEA">
        <w:rPr>
          <w:sz w:val="20"/>
          <w:szCs w:val="20"/>
          <w:lang w:val="da-DK"/>
        </w:rPr>
        <w:t>Kursen på kryptovalutan kan också ändras på grund av att investerarnas syn på tillgångsklassens utsikter förändras. Egenskaper hos kryptovalutan och skillnader i tillämpliga regelverk skapar en risk för marknadsmissbruk och kan leda till hög kursvolatilitet. Belopp som tas emot av obligationsinnehavare (i) vid inlösen av obligationerna i US-dollar, då obligationsinnehavare inte kan ta emot kryptovalutan på grund av rättsliga eller tillsynsskäl eller (ii) vid försäljning på börsen, styrs av kryptovalutans kursutveckling och tillgänglig likviditet.</w:t>
      </w:r>
    </w:p>
    <w:p w14:paraId="44ED71C6" w14:textId="6577C901" w:rsidR="009D4A74" w:rsidRPr="00D97EEA" w:rsidRDefault="009D4A74" w:rsidP="009D4A74">
      <w:pPr>
        <w:pStyle w:val="wText1"/>
        <w:keepNext/>
        <w:keepLines/>
        <w:spacing w:after="60"/>
        <w:ind w:left="0"/>
        <w:rPr>
          <w:b/>
          <w:sz w:val="20"/>
          <w:szCs w:val="20"/>
          <w:lang w:val="sv-SE"/>
        </w:rPr>
      </w:pPr>
      <w:r w:rsidRPr="00D97EEA">
        <w:rPr>
          <w:b/>
          <w:sz w:val="20"/>
          <w:szCs w:val="20"/>
          <w:lang w:val="sv-SE"/>
        </w:rPr>
        <w:t xml:space="preserve">Risker </w:t>
      </w:r>
      <w:r w:rsidR="009D1CB2" w:rsidRPr="00D97EEA">
        <w:rPr>
          <w:b/>
          <w:sz w:val="20"/>
          <w:szCs w:val="20"/>
          <w:lang w:val="sv-SE"/>
        </w:rPr>
        <w:t xml:space="preserve">relaterade </w:t>
      </w:r>
      <w:r w:rsidRPr="00D97EEA">
        <w:rPr>
          <w:b/>
          <w:sz w:val="20"/>
          <w:szCs w:val="20"/>
          <w:lang w:val="sv-SE"/>
        </w:rPr>
        <w:t>till upptagande av värdepapper till handel</w:t>
      </w:r>
    </w:p>
    <w:p w14:paraId="64329E61" w14:textId="3F672187" w:rsidR="009D4A74" w:rsidRPr="00D97EEA" w:rsidRDefault="009D4A74" w:rsidP="009D4A74">
      <w:pPr>
        <w:pStyle w:val="wText1"/>
        <w:keepNext/>
        <w:keepLines/>
        <w:ind w:left="0"/>
        <w:rPr>
          <w:sz w:val="20"/>
          <w:szCs w:val="20"/>
          <w:lang w:val="sv-SE"/>
        </w:rPr>
      </w:pPr>
      <w:r w:rsidRPr="00D97EEA">
        <w:rPr>
          <w:i/>
          <w:iCs/>
          <w:sz w:val="20"/>
          <w:szCs w:val="20"/>
          <w:lang w:val="sv-SE"/>
        </w:rPr>
        <w:t xml:space="preserve">Risker </w:t>
      </w:r>
      <w:r w:rsidR="009D1CB2" w:rsidRPr="00D97EEA">
        <w:rPr>
          <w:i/>
          <w:iCs/>
          <w:sz w:val="20"/>
          <w:szCs w:val="20"/>
          <w:lang w:val="sv-SE"/>
        </w:rPr>
        <w:t xml:space="preserve">relaterade </w:t>
      </w:r>
      <w:r w:rsidRPr="00D97EEA">
        <w:rPr>
          <w:i/>
          <w:iCs/>
          <w:sz w:val="20"/>
          <w:szCs w:val="20"/>
          <w:lang w:val="sv-SE"/>
        </w:rPr>
        <w:t>till upptagande till handel</w:t>
      </w:r>
      <w:r w:rsidRPr="00D97EEA">
        <w:rPr>
          <w:sz w:val="20"/>
          <w:szCs w:val="20"/>
          <w:lang w:val="sv-SE"/>
        </w:rPr>
        <w:t>: Obligationernas handelskurs skulle kunna minska om emittentens eller de associerade parternas kreditvärdighet försämras eller uppfattas som sämre oavsett att obligationerna är säkrade genom det faktiska innehavet av kryptovaluta. Risken är att tredje parter endast skulle vara villiga att köpa obligationer med en betydande rabatt i förhållande till kursen på kryptovaluta, vilket i sin tur kan resultera i att en obligationsinnehavare förlorar investeringen i obligationerna.</w:t>
      </w:r>
    </w:p>
    <w:p w14:paraId="04F2ED32" w14:textId="6653615F" w:rsidR="009D4A74" w:rsidRPr="00D97EEA" w:rsidRDefault="009D4A74" w:rsidP="009D4A74">
      <w:pPr>
        <w:pStyle w:val="wText1"/>
        <w:spacing w:after="60"/>
        <w:ind w:left="0"/>
        <w:rPr>
          <w:b/>
          <w:sz w:val="20"/>
          <w:szCs w:val="20"/>
          <w:lang w:val="sv-SE"/>
        </w:rPr>
      </w:pPr>
      <w:r w:rsidRPr="00D97EEA">
        <w:rPr>
          <w:b/>
          <w:sz w:val="20"/>
          <w:szCs w:val="20"/>
          <w:lang w:val="sv-SE"/>
        </w:rPr>
        <w:t xml:space="preserve">Skatterisker </w:t>
      </w:r>
      <w:r w:rsidR="009D1CB2" w:rsidRPr="00D97EEA">
        <w:rPr>
          <w:b/>
          <w:sz w:val="20"/>
          <w:szCs w:val="20"/>
          <w:lang w:val="sv-SE"/>
        </w:rPr>
        <w:t>relaterade till</w:t>
      </w:r>
      <w:r w:rsidRPr="00D97EEA">
        <w:rPr>
          <w:b/>
          <w:sz w:val="20"/>
          <w:szCs w:val="20"/>
          <w:lang w:val="sv-SE"/>
        </w:rPr>
        <w:t xml:space="preserve"> obligationerna</w:t>
      </w:r>
    </w:p>
    <w:p w14:paraId="76825799" w14:textId="40885B81" w:rsidR="009D4A74" w:rsidRPr="00D97EEA" w:rsidRDefault="009D4A74" w:rsidP="009D1CB2">
      <w:pPr>
        <w:pStyle w:val="wText1"/>
        <w:ind w:left="0"/>
        <w:rPr>
          <w:b/>
          <w:iCs/>
          <w:sz w:val="20"/>
          <w:szCs w:val="20"/>
          <w:lang w:val="sv-SE"/>
        </w:rPr>
      </w:pPr>
      <w:r w:rsidRPr="00D97EEA">
        <w:rPr>
          <w:i/>
          <w:iCs/>
          <w:sz w:val="20"/>
          <w:szCs w:val="20"/>
          <w:lang w:val="sv-SE"/>
        </w:rPr>
        <w:t>Skatt på finansiell</w:t>
      </w:r>
      <w:r w:rsidR="009D1CB2" w:rsidRPr="00D97EEA">
        <w:rPr>
          <w:i/>
          <w:iCs/>
          <w:sz w:val="20"/>
          <w:szCs w:val="20"/>
          <w:lang w:val="sv-SE"/>
        </w:rPr>
        <w:t>a</w:t>
      </w:r>
      <w:r w:rsidRPr="00D97EEA">
        <w:rPr>
          <w:i/>
          <w:iCs/>
          <w:sz w:val="20"/>
          <w:szCs w:val="20"/>
          <w:lang w:val="sv-SE"/>
        </w:rPr>
        <w:t xml:space="preserve"> transaktioner: </w:t>
      </w:r>
      <w:r w:rsidRPr="00D97EEA">
        <w:rPr>
          <w:sz w:val="20"/>
          <w:szCs w:val="20"/>
          <w:lang w:val="sv-SE"/>
        </w:rPr>
        <w:t xml:space="preserve">Under 2013 </w:t>
      </w:r>
      <w:r w:rsidR="009D1CB2" w:rsidRPr="00D97EEA">
        <w:rPr>
          <w:sz w:val="20"/>
          <w:szCs w:val="20"/>
          <w:lang w:val="sv-SE"/>
        </w:rPr>
        <w:t xml:space="preserve">publicerade </w:t>
      </w:r>
      <w:r w:rsidRPr="00D97EEA">
        <w:rPr>
          <w:sz w:val="20"/>
          <w:szCs w:val="20"/>
          <w:lang w:val="sv-SE"/>
        </w:rPr>
        <w:t>den Europeiska kommissionen ett förslag (”</w:t>
      </w:r>
      <w:r w:rsidRPr="00D97EEA">
        <w:rPr>
          <w:b/>
          <w:iCs/>
          <w:sz w:val="20"/>
          <w:szCs w:val="20"/>
          <w:lang w:val="sv-SE"/>
        </w:rPr>
        <w:t>kommissionens förslag</w:t>
      </w:r>
      <w:r w:rsidRPr="00D97EEA">
        <w:rPr>
          <w:sz w:val="20"/>
          <w:szCs w:val="20"/>
          <w:lang w:val="sv-SE"/>
        </w:rPr>
        <w:t>”) till ett direktiv om en gemensam skatt på finansiella transaktioner (”</w:t>
      </w:r>
      <w:r w:rsidR="009D1CB2" w:rsidRPr="00D97EEA">
        <w:rPr>
          <w:b/>
          <w:iCs/>
          <w:sz w:val="20"/>
          <w:szCs w:val="20"/>
          <w:lang w:val="sv-SE"/>
        </w:rPr>
        <w:t>FTT</w:t>
      </w:r>
      <w:r w:rsidRPr="00D97EEA">
        <w:rPr>
          <w:sz w:val="20"/>
          <w:szCs w:val="20"/>
          <w:lang w:val="sv-SE"/>
        </w:rPr>
        <w:t>”). Enligt kommissionens förslag ska skatten på finansiella transaktioner införas i vissa EU-medlemsstater, däribland Tyskland. Den specifika risken är att skatten på finansiella transaktioner kan leda till en negativ skattebehandling av obligationerna som i sin tur kan inverka negativt på avkastningen på obligationsinnehavarens investering i obligationerna.</w:t>
      </w:r>
    </w:p>
    <w:p w14:paraId="016790E1" w14:textId="77777777" w:rsidR="009D4A74" w:rsidRPr="00D97EEA" w:rsidRDefault="009D4A74" w:rsidP="009D4A74">
      <w:pPr>
        <w:pStyle w:val="Heading2"/>
        <w:numPr>
          <w:ilvl w:val="1"/>
          <w:numId w:val="42"/>
        </w:numPr>
        <w:tabs>
          <w:tab w:val="clear" w:pos="720"/>
        </w:tabs>
        <w:spacing w:after="60"/>
        <w:rPr>
          <w:b w:val="0"/>
          <w:sz w:val="20"/>
          <w:szCs w:val="20"/>
          <w:lang w:val="sv-SE"/>
        </w:rPr>
      </w:pPr>
      <w:r w:rsidRPr="00D97EEA">
        <w:rPr>
          <w:sz w:val="20"/>
          <w:szCs w:val="20"/>
          <w:lang w:val="sv-SE"/>
        </w:rPr>
        <w:t>NYCKELINFORMATION OM ERBJUDANDET AV VÄRDEPAPPER TILL ALLMÄNHETEN OCH UPPTAGANDE TILL HANDEL PÅ EN REGLERAD MARKNAD</w:t>
      </w:r>
    </w:p>
    <w:p w14:paraId="7D2DCACC" w14:textId="77777777" w:rsidR="009D4A74" w:rsidRPr="00D97EEA" w:rsidRDefault="009D4A74" w:rsidP="009D4A74">
      <w:pPr>
        <w:pStyle w:val="Heading3"/>
        <w:numPr>
          <w:ilvl w:val="2"/>
          <w:numId w:val="42"/>
        </w:numPr>
        <w:tabs>
          <w:tab w:val="clear" w:pos="1004"/>
          <w:tab w:val="num" w:pos="720"/>
        </w:tabs>
        <w:spacing w:after="60"/>
        <w:ind w:left="720"/>
        <w:rPr>
          <w:b/>
          <w:bCs/>
          <w:sz w:val="20"/>
          <w:szCs w:val="20"/>
          <w:lang w:val="sv-SE"/>
        </w:rPr>
      </w:pPr>
      <w:r w:rsidRPr="00D97EEA">
        <w:rPr>
          <w:b/>
          <w:bCs/>
          <w:sz w:val="20"/>
          <w:szCs w:val="20"/>
          <w:lang w:val="sv-SE"/>
        </w:rPr>
        <w:t>Enligt vilka villkor och vilken tidsplan kan jag investera i detta värdepapper?</w:t>
      </w:r>
    </w:p>
    <w:p w14:paraId="60C9E3C1" w14:textId="77777777" w:rsidR="009D4A74" w:rsidRPr="00D97EEA" w:rsidRDefault="009D4A74" w:rsidP="009D4A74">
      <w:pPr>
        <w:pStyle w:val="wText1"/>
        <w:spacing w:after="60"/>
        <w:ind w:left="0"/>
        <w:rPr>
          <w:sz w:val="20"/>
          <w:szCs w:val="20"/>
          <w:lang w:val="sv-SE"/>
        </w:rPr>
      </w:pPr>
      <w:r w:rsidRPr="00D97EEA">
        <w:rPr>
          <w:sz w:val="20"/>
          <w:szCs w:val="20"/>
          <w:lang w:val="sv-SE"/>
        </w:rPr>
        <w:t>Villkoren och tidsplanen för att investera i obligationer anges nedan.</w:t>
      </w:r>
    </w:p>
    <w:p w14:paraId="3C333ADB" w14:textId="4A2B2AAC" w:rsidR="009D4A74" w:rsidRPr="00D97EEA" w:rsidRDefault="009D4A74" w:rsidP="009D4A74">
      <w:pPr>
        <w:pStyle w:val="wText1"/>
        <w:spacing w:after="60"/>
        <w:ind w:left="0"/>
        <w:rPr>
          <w:sz w:val="20"/>
          <w:szCs w:val="20"/>
          <w:lang w:val="sv-SE"/>
        </w:rPr>
      </w:pPr>
      <w:r w:rsidRPr="00D97EEA">
        <w:rPr>
          <w:sz w:val="20"/>
          <w:szCs w:val="20"/>
          <w:lang w:val="sv-SE"/>
        </w:rPr>
        <w:t>Denna emission av obligationer utfärdas i ett sammanlagt belopp på upp till</w:t>
      </w:r>
      <w:r w:rsidRPr="00D97EEA" w:rsidDel="00AE031F">
        <w:rPr>
          <w:sz w:val="20"/>
          <w:szCs w:val="20"/>
          <w:lang w:val="sv-SE"/>
        </w:rPr>
        <w:t xml:space="preserve"> </w:t>
      </w:r>
      <w:r w:rsidR="00626EDD" w:rsidRPr="00D97EEA">
        <w:rPr>
          <w:sz w:val="20"/>
          <w:szCs w:val="20"/>
          <w:lang w:val="sv-SE"/>
        </w:rPr>
        <w:t>3 200 000 000</w:t>
      </w:r>
      <w:r w:rsidRPr="00D97EEA">
        <w:rPr>
          <w:sz w:val="20"/>
          <w:szCs w:val="20"/>
          <w:lang w:val="sv-SE"/>
        </w:rPr>
        <w:t xml:space="preserve"> obligationer som är säkrade med XRP.</w:t>
      </w:r>
    </w:p>
    <w:p w14:paraId="1465B1F0" w14:textId="16DE7CB1" w:rsidR="009D4A74" w:rsidRPr="00D97EEA" w:rsidRDefault="009D4A74" w:rsidP="009D4A74">
      <w:pPr>
        <w:pStyle w:val="wText1"/>
        <w:keepNext/>
        <w:spacing w:after="60"/>
        <w:ind w:left="0"/>
        <w:rPr>
          <w:sz w:val="20"/>
          <w:szCs w:val="20"/>
          <w:lang w:val="sv-SE"/>
        </w:rPr>
      </w:pPr>
      <w:r w:rsidRPr="00D97EEA">
        <w:rPr>
          <w:b/>
          <w:i/>
          <w:sz w:val="20"/>
          <w:lang w:val="sv-SE"/>
        </w:rPr>
        <w:t>Köp av obligationer</w:t>
      </w:r>
      <w:r w:rsidRPr="00D97EEA">
        <w:rPr>
          <w:b/>
          <w:sz w:val="20"/>
          <w:lang w:val="sv-SE"/>
        </w:rPr>
        <w:t xml:space="preserve">: </w:t>
      </w:r>
      <w:r w:rsidRPr="00D97EEA">
        <w:rPr>
          <w:sz w:val="20"/>
          <w:lang w:val="sv-SE"/>
        </w:rPr>
        <w:t>På den primära marknaden kommer emittenten endast att sälja obligationer till auktoriserade deltagare och sådana obligationer kan endast köpas med</w:t>
      </w:r>
      <w:r w:rsidRPr="00D97EEA">
        <w:rPr>
          <w:b/>
          <w:sz w:val="20"/>
          <w:lang w:val="sv-SE"/>
        </w:rPr>
        <w:t xml:space="preserve"> </w:t>
      </w:r>
      <w:r w:rsidRPr="00D97EEA">
        <w:rPr>
          <w:sz w:val="20"/>
          <w:lang w:val="sv-SE"/>
        </w:rPr>
        <w:t xml:space="preserve">kryptovaluta. Investerare som inte är auktoriserade deltagare kan köpa obligationer på andrahandsmarknaden, antingen (i) från en auktoriserad deltagare, i enlighet med gällande försäljningsbegränsningar, (ii) via en börs genom sin börsmäklare eller (iii) från någon person vid handel över disk. I samband med detta har Flow Traders B.V., Jane Street Financial Limited, </w:t>
      </w:r>
      <w:r w:rsidRPr="00D97EEA">
        <w:rPr>
          <w:sz w:val="20"/>
          <w:szCs w:val="20"/>
          <w:lang w:val="sv-SE"/>
        </w:rPr>
        <w:t xml:space="preserve">Goldenberg Hehmeyer LLP </w:t>
      </w:r>
      <w:r w:rsidRPr="00D97EEA">
        <w:rPr>
          <w:sz w:val="20"/>
          <w:lang w:val="sv-SE"/>
        </w:rPr>
        <w:t xml:space="preserve">utsetts till auktoriserade deltagare. Teckningsperioden förväntas inledas den </w:t>
      </w:r>
      <w:r w:rsidR="00DB4D60" w:rsidRPr="00D97EEA">
        <w:rPr>
          <w:sz w:val="20"/>
          <w:lang w:val="sv-SE"/>
        </w:rPr>
        <w:t>24</w:t>
      </w:r>
      <w:r w:rsidR="00FF534B" w:rsidRPr="00D97EEA">
        <w:rPr>
          <w:sz w:val="20"/>
          <w:szCs w:val="20"/>
          <w:lang w:val="sv-SE"/>
        </w:rPr>
        <w:t xml:space="preserve"> </w:t>
      </w:r>
      <w:r w:rsidR="003F46C2" w:rsidRPr="00D97EEA">
        <w:rPr>
          <w:sz w:val="20"/>
          <w:szCs w:val="20"/>
          <w:lang w:val="sv-SE"/>
        </w:rPr>
        <w:t>j</w:t>
      </w:r>
      <w:r w:rsidR="00FF534B" w:rsidRPr="00D97EEA">
        <w:rPr>
          <w:sz w:val="20"/>
          <w:szCs w:val="20"/>
          <w:lang w:val="sv-SE"/>
        </w:rPr>
        <w:t>anuar</w:t>
      </w:r>
      <w:r w:rsidR="003F46C2" w:rsidRPr="00D97EEA">
        <w:rPr>
          <w:sz w:val="20"/>
          <w:szCs w:val="20"/>
          <w:lang w:val="sv-SE"/>
        </w:rPr>
        <w:t>i</w:t>
      </w:r>
      <w:r w:rsidR="00FF534B" w:rsidRPr="00D97EEA">
        <w:rPr>
          <w:sz w:val="20"/>
          <w:szCs w:val="20"/>
          <w:lang w:val="sv-SE"/>
        </w:rPr>
        <w:t xml:space="preserve"> 2024 </w:t>
      </w:r>
      <w:r w:rsidRPr="00D97EEA">
        <w:rPr>
          <w:sz w:val="20"/>
          <w:lang w:val="sv-SE"/>
        </w:rPr>
        <w:t>och kommer att vara öppen till slutet av (i) det datum då grundprospektet upphör att gälla och (ii) giltighetstiden för ett nytt grundprospekt som omedelbart efterföljer grundprospektet med förbehåll för att förkorta perioden. Ett erbjudande till allmänheten kan ges i de länder som anges under ”</w:t>
      </w:r>
      <w:r w:rsidRPr="00D97EEA">
        <w:rPr>
          <w:i/>
          <w:sz w:val="20"/>
          <w:lang w:val="sv-SE"/>
        </w:rPr>
        <w:t>1.1</w:t>
      </w:r>
      <w:r w:rsidRPr="00D97EEA">
        <w:rPr>
          <w:sz w:val="20"/>
          <w:lang w:val="sv-SE"/>
        </w:rPr>
        <w:t xml:space="preserve"> </w:t>
      </w:r>
      <w:r w:rsidRPr="00D97EEA">
        <w:rPr>
          <w:i/>
          <w:sz w:val="20"/>
          <w:lang w:val="sv-SE"/>
        </w:rPr>
        <w:t xml:space="preserve">Inledning och </w:t>
      </w:r>
      <w:r w:rsidRPr="00D97EEA">
        <w:rPr>
          <w:i/>
          <w:sz w:val="20"/>
          <w:szCs w:val="20"/>
          <w:lang w:val="sv-SE"/>
        </w:rPr>
        <w:t>varningar</w:t>
      </w:r>
      <w:r w:rsidRPr="00D97EEA">
        <w:rPr>
          <w:sz w:val="20"/>
          <w:szCs w:val="20"/>
          <w:lang w:val="sv-SE"/>
        </w:rPr>
        <w:t xml:space="preserve">”, med förbehåll för tillämpliga försäljningsbegränsningar. DRW Europe B.V. har också utsetts till auktoriserad deltagare enligt </w:t>
      </w:r>
      <w:r w:rsidRPr="00D97EEA">
        <w:rPr>
          <w:sz w:val="20"/>
          <w:szCs w:val="20"/>
          <w:lang w:val="sv-SE"/>
        </w:rPr>
        <w:lastRenderedPageBreak/>
        <w:t>basprospektet, men inte kommer att möta eller erbjuda obligationerna till investerare. DRW kommer bara att prenumerera på och lösa in obligationerna för sina egna ändamål.</w:t>
      </w:r>
    </w:p>
    <w:p w14:paraId="1C67F784" w14:textId="0F8FC167" w:rsidR="009D4A74" w:rsidRPr="00D97EEA" w:rsidRDefault="009D4A74" w:rsidP="009D4A74">
      <w:pPr>
        <w:pStyle w:val="wText1"/>
        <w:keepNext/>
        <w:spacing w:after="60"/>
        <w:ind w:left="0"/>
        <w:rPr>
          <w:sz w:val="20"/>
          <w:szCs w:val="20"/>
          <w:lang w:val="sv-SE"/>
        </w:rPr>
      </w:pPr>
      <w:r w:rsidRPr="00D97EEA">
        <w:rPr>
          <w:b/>
          <w:i/>
          <w:sz w:val="20"/>
          <w:szCs w:val="20"/>
          <w:lang w:val="sv-SE"/>
        </w:rPr>
        <w:t>Villkor och tekniska detaljer för erbjudandet</w:t>
      </w:r>
      <w:r w:rsidRPr="00D97EEA">
        <w:rPr>
          <w:b/>
          <w:sz w:val="20"/>
          <w:szCs w:val="20"/>
          <w:lang w:val="sv-SE"/>
        </w:rPr>
        <w:t xml:space="preserve">: </w:t>
      </w:r>
      <w:r w:rsidRPr="00D97EEA">
        <w:rPr>
          <w:sz w:val="20"/>
          <w:szCs w:val="20"/>
          <w:lang w:val="sv-SE"/>
        </w:rPr>
        <w:t xml:space="preserve">Erbjudandet </w:t>
      </w:r>
      <w:r w:rsidR="00626EDD" w:rsidRPr="00D97EEA">
        <w:rPr>
          <w:sz w:val="20"/>
          <w:szCs w:val="20"/>
          <w:lang w:val="sv-SE"/>
        </w:rPr>
        <w:t>är inte föremål för</w:t>
      </w:r>
      <w:r w:rsidRPr="00D97EEA">
        <w:rPr>
          <w:sz w:val="20"/>
          <w:szCs w:val="20"/>
          <w:lang w:val="sv-SE"/>
        </w:rPr>
        <w:t xml:space="preserve"> några villkor eller tidsfrister än den tidsfrist som följer av grundprospektets giltighet enligt ”</w:t>
      </w:r>
      <w:r w:rsidRPr="00D97EEA">
        <w:rPr>
          <w:i/>
          <w:sz w:val="20"/>
          <w:szCs w:val="20"/>
          <w:lang w:val="sv-SE"/>
        </w:rPr>
        <w:t>Köp av obligationer</w:t>
      </w:r>
      <w:r w:rsidRPr="00D97EEA">
        <w:rPr>
          <w:sz w:val="20"/>
          <w:szCs w:val="20"/>
          <w:lang w:val="sv-SE"/>
        </w:rPr>
        <w:t xml:space="preserve">”. Det finns ingen möjlighet att minska antalet teckningar. Inga </w:t>
      </w:r>
      <w:r w:rsidR="00626EDD" w:rsidRPr="00D97EEA">
        <w:rPr>
          <w:sz w:val="20"/>
          <w:szCs w:val="20"/>
          <w:lang w:val="sv-SE"/>
        </w:rPr>
        <w:t>minimum</w:t>
      </w:r>
      <w:r w:rsidRPr="00D97EEA">
        <w:rPr>
          <w:sz w:val="20"/>
          <w:szCs w:val="20"/>
          <w:lang w:val="sv-SE"/>
        </w:rPr>
        <w:t xml:space="preserve"> eller </w:t>
      </w:r>
      <w:proofErr w:type="gramStart"/>
      <w:r w:rsidR="00626EDD" w:rsidRPr="00D97EEA">
        <w:rPr>
          <w:sz w:val="20"/>
          <w:szCs w:val="20"/>
          <w:lang w:val="sv-SE"/>
        </w:rPr>
        <w:t>maximum teckningsbelopp</w:t>
      </w:r>
      <w:proofErr w:type="gramEnd"/>
      <w:r w:rsidR="00626EDD" w:rsidRPr="00D97EEA">
        <w:rPr>
          <w:sz w:val="20"/>
          <w:szCs w:val="20"/>
          <w:lang w:val="sv-SE"/>
        </w:rPr>
        <w:t xml:space="preserve"> har specificerats</w:t>
      </w:r>
      <w:r w:rsidRPr="00D97EEA">
        <w:rPr>
          <w:sz w:val="20"/>
          <w:szCs w:val="20"/>
          <w:lang w:val="sv-SE"/>
        </w:rPr>
        <w:t xml:space="preserve">, men finansiella mellanhänder (inklusive auktoriserade deltagare) som erbjuder obligationerna kan enligt eget gottfinnande fastställa </w:t>
      </w:r>
      <w:r w:rsidR="00DA6CAA" w:rsidRPr="00D97EEA">
        <w:rPr>
          <w:sz w:val="20"/>
          <w:szCs w:val="20"/>
          <w:lang w:val="sv-SE"/>
        </w:rPr>
        <w:t>minimum</w:t>
      </w:r>
      <w:r w:rsidRPr="00D97EEA">
        <w:rPr>
          <w:sz w:val="20"/>
          <w:szCs w:val="20"/>
          <w:lang w:val="sv-SE"/>
        </w:rPr>
        <w:t xml:space="preserve"> eller </w:t>
      </w:r>
      <w:r w:rsidR="00DA6CAA" w:rsidRPr="00D97EEA">
        <w:rPr>
          <w:sz w:val="20"/>
          <w:szCs w:val="20"/>
          <w:lang w:val="sv-SE"/>
        </w:rPr>
        <w:t>maximum tecknings</w:t>
      </w:r>
      <w:r w:rsidRPr="00D97EEA">
        <w:rPr>
          <w:sz w:val="20"/>
          <w:szCs w:val="20"/>
          <w:lang w:val="sv-SE"/>
        </w:rPr>
        <w:t>belopp för teckning när de erbjuder obligationerna.</w:t>
      </w:r>
    </w:p>
    <w:p w14:paraId="5B8F46B0" w14:textId="77777777" w:rsidR="009D4A74" w:rsidRPr="00D97EEA" w:rsidRDefault="009D4A74" w:rsidP="009D4A74">
      <w:pPr>
        <w:pStyle w:val="wText1"/>
        <w:ind w:left="0"/>
        <w:rPr>
          <w:sz w:val="20"/>
          <w:szCs w:val="20"/>
          <w:lang w:val="sv-SE"/>
        </w:rPr>
      </w:pPr>
      <w:r w:rsidRPr="00D97EEA">
        <w:rPr>
          <w:sz w:val="20"/>
          <w:szCs w:val="20"/>
          <w:lang w:val="sv-SE"/>
        </w:rPr>
        <w:t>Obligationer kan köpas på den primära marknaden antingen med kryptovaluta, euro, US-dollar eller någon annan fiatvaluta eller kryptovaluta, vilket kommer fastställas av varje finansiell mellanhand som erbjuder obligationerna. Obligationer som köps direkt från emittenten på primärmarknaden kan emellertid endast köpas med kryptovaluta och endast av auktoriserade deltagare. Obligationerna kommer levereras via bokföringstransaktion genom clearingsystemet och dess kontoinnehavsbanker.</w:t>
      </w:r>
    </w:p>
    <w:p w14:paraId="30374184" w14:textId="18FB4CC9" w:rsidR="009D4A74" w:rsidRPr="00D97EEA" w:rsidRDefault="009D4A74" w:rsidP="009D4A74">
      <w:pPr>
        <w:pStyle w:val="wText1"/>
        <w:keepNext/>
        <w:ind w:left="0"/>
        <w:rPr>
          <w:sz w:val="20"/>
          <w:szCs w:val="20"/>
          <w:lang w:val="sv-SE"/>
        </w:rPr>
      </w:pPr>
      <w:r w:rsidRPr="00D97EEA">
        <w:rPr>
          <w:b/>
          <w:i/>
          <w:sz w:val="20"/>
          <w:szCs w:val="20"/>
          <w:lang w:val="sv-SE"/>
        </w:rPr>
        <w:t>Metod för fastställande av emissionskurs</w:t>
      </w:r>
      <w:r w:rsidR="00DA6CAA" w:rsidRPr="00D97EEA">
        <w:rPr>
          <w:b/>
          <w:i/>
          <w:sz w:val="20"/>
          <w:szCs w:val="20"/>
          <w:lang w:val="sv-SE"/>
        </w:rPr>
        <w:t>en</w:t>
      </w:r>
      <w:r w:rsidRPr="00D97EEA">
        <w:rPr>
          <w:b/>
          <w:sz w:val="20"/>
          <w:szCs w:val="20"/>
          <w:lang w:val="sv-SE"/>
        </w:rPr>
        <w:t xml:space="preserve">: </w:t>
      </w:r>
      <w:r w:rsidRPr="00D97EEA">
        <w:rPr>
          <w:sz w:val="20"/>
          <w:szCs w:val="20"/>
          <w:lang w:val="sv-SE"/>
        </w:rPr>
        <w:t xml:space="preserve">Emissionskursen för auktoriserade deltagare är lika med </w:t>
      </w:r>
      <w:r w:rsidR="00DA6CAA" w:rsidRPr="00D97EEA">
        <w:rPr>
          <w:sz w:val="20"/>
          <w:szCs w:val="20"/>
          <w:lang w:val="sv-SE"/>
        </w:rPr>
        <w:t>summan av individuella "Enskilda Rättigheter till Kryptovaluta" avseende varje enskild Kryptovaluta som ingår i korgen per Obligation plus en teckningsavgift. Om den relevanta dagen ("t" dagar efter Emissionsdatumet) inte är en Rebalansdag eller inte är en dag omedelbart efter Rebalansdagen, kommer den enskilda Cryptocurrency Entitlement att fastställas i enlighet med följande formel:</w:t>
      </w:r>
    </w:p>
    <w:p w14:paraId="4E3BF2D2" w14:textId="167A04F9" w:rsidR="00703A04" w:rsidRPr="00D97EEA" w:rsidRDefault="00703A04" w:rsidP="00703A04">
      <w:pPr>
        <w:spacing w:after="160" w:line="259" w:lineRule="auto"/>
        <w:ind w:left="426" w:hanging="426"/>
        <w:rPr>
          <w:sz w:val="20"/>
          <w:szCs w:val="20"/>
          <w:lang w:val="sv-SE"/>
        </w:rPr>
      </w:pPr>
    </w:p>
    <w:p w14:paraId="7BE48B97" w14:textId="7BBD6F9E" w:rsidR="00703A04" w:rsidRPr="00D97EEA" w:rsidRDefault="00000000" w:rsidP="00703A04">
      <w:pPr>
        <w:spacing w:after="160" w:line="259" w:lineRule="auto"/>
        <w:ind w:left="1418"/>
        <w:jc w:val="center"/>
        <w:rPr>
          <w:rFonts w:ascii="Calibri" w:eastAsia="Calibri" w:hAnsi="Calibri" w:cs="Calibri"/>
        </w:rPr>
      </w:pPr>
      <m:oMathPara>
        <m:oMath>
          <m:sSub>
            <m:sSubPr>
              <m:ctrlPr>
                <w:rPr>
                  <w:rFonts w:ascii="Cambria Math" w:eastAsia="MS PGothic" w:hAnsi="Cambria Math" w:cs="Calibri"/>
                  <w:lang w:val="en-US"/>
                </w:rPr>
              </m:ctrlPr>
            </m:sSubPr>
            <m:e>
              <m:r>
                <w:rPr>
                  <w:rFonts w:ascii="Cambria Math" w:eastAsia="Calibri" w:hAnsi="Cambria Math" w:cs="Arial"/>
                </w:rPr>
                <m:t>SCE</m:t>
              </m:r>
            </m:e>
            <m:sub>
              <m:r>
                <w:rPr>
                  <w:rFonts w:ascii="Cambria Math" w:eastAsia="Calibri" w:hAnsi="Cambria Math" w:cs="Arial"/>
                </w:rPr>
                <m:t>(t)</m:t>
              </m:r>
            </m:sub>
          </m:sSub>
          <m:r>
            <w:rPr>
              <w:rFonts w:ascii="Cambria Math" w:eastAsia="Calibri" w:hAnsi="Cambria Math" w:cs="Arial"/>
            </w:rPr>
            <m:t>=</m:t>
          </m:r>
          <m:sSubSup>
            <m:sSubSupPr>
              <m:ctrlPr>
                <w:rPr>
                  <w:rFonts w:ascii="Cambria Math" w:eastAsia="MS PGothic" w:hAnsi="Cambria Math" w:cs="Calibri"/>
                  <w:i/>
                  <w:iCs/>
                  <w:lang w:val="en-US"/>
                </w:rPr>
              </m:ctrlPr>
            </m:sSubSupPr>
            <m:e>
              <m:r>
                <w:rPr>
                  <w:rFonts w:ascii="Cambria Math" w:eastAsia="Calibri" w:hAnsi="Cambria Math" w:cs="Arial"/>
                </w:rPr>
                <m:t>SCE</m:t>
              </m:r>
            </m:e>
            <m:sub>
              <m:d>
                <m:dPr>
                  <m:ctrlPr>
                    <w:rPr>
                      <w:rFonts w:ascii="Cambria Math" w:eastAsia="MS PGothic" w:hAnsi="Cambria Math" w:cs="Calibri"/>
                      <w:i/>
                      <w:iCs/>
                      <w:lang w:val="en-US"/>
                    </w:rPr>
                  </m:ctrlPr>
                </m:dPr>
                <m:e>
                  <m:r>
                    <w:rPr>
                      <w:rFonts w:ascii="Cambria Math" w:eastAsia="Calibri" w:hAnsi="Cambria Math" w:cs="Arial"/>
                    </w:rPr>
                    <m:t>t-1</m:t>
                  </m:r>
                </m:e>
              </m:d>
            </m:sub>
            <m:sup>
              <m:r>
                <w:rPr>
                  <w:rFonts w:ascii="Cambria Math" w:eastAsia="Calibri" w:hAnsi="Cambria Math" w:cs="Arial"/>
                </w:rPr>
                <m:t>i</m:t>
              </m:r>
            </m:sup>
          </m:sSubSup>
          <m:r>
            <w:rPr>
              <w:rFonts w:ascii="Cambria Math" w:eastAsia="Calibri" w:hAnsi="Cambria Math" w:cs="Arial"/>
            </w:rPr>
            <m:t>*</m:t>
          </m:r>
          <m:d>
            <m:dPr>
              <m:ctrlPr>
                <w:rPr>
                  <w:rFonts w:ascii="Cambria Math" w:eastAsia="MS PGothic" w:hAnsi="Cambria Math" w:cs="Calibri"/>
                  <w:lang w:val="en-US"/>
                </w:rPr>
              </m:ctrlPr>
            </m:dPr>
            <m:e>
              <m:r>
                <w:rPr>
                  <w:rFonts w:ascii="Cambria Math" w:eastAsia="Calibri" w:hAnsi="Cambria Math" w:cs="Arial"/>
                </w:rPr>
                <m:t xml:space="preserve">1- </m:t>
              </m:r>
              <m:f>
                <m:fPr>
                  <m:ctrlPr>
                    <w:rPr>
                      <w:rFonts w:ascii="Cambria Math" w:eastAsia="MS PGothic" w:hAnsi="Cambria Math" w:cs="Calibri"/>
                      <w:lang w:val="en-US"/>
                    </w:rPr>
                  </m:ctrlPr>
                </m:fPr>
                <m:num>
                  <m:r>
                    <w:rPr>
                      <w:rFonts w:ascii="Cambria Math" w:eastAsia="Calibri" w:hAnsi="Cambria Math" w:cs="Arial"/>
                    </w:rPr>
                    <m:t>DER</m:t>
                  </m:r>
                </m:num>
                <m:den>
                  <m:r>
                    <w:rPr>
                      <w:rFonts w:ascii="Cambria Math" w:eastAsia="Calibri" w:hAnsi="Cambria Math" w:cs="Arial"/>
                    </w:rPr>
                    <m:t>365</m:t>
                  </m:r>
                </m:den>
              </m:f>
            </m:e>
          </m:d>
          <m:r>
            <w:rPr>
              <w:rFonts w:ascii="Cambria Math" w:eastAsia="Calibri" w:hAnsi="Cambria Math" w:cs="Arial"/>
            </w:rPr>
            <m:t>+</m:t>
          </m:r>
          <m:f>
            <m:fPr>
              <m:ctrlPr>
                <w:rPr>
                  <w:rFonts w:ascii="Cambria Math" w:eastAsia="MS PGothic" w:hAnsi="Cambria Math" w:cs="Calibri"/>
                  <w:lang w:val="en-US"/>
                </w:rPr>
              </m:ctrlPr>
            </m:fPr>
            <m:num>
              <m:sSub>
                <m:sSubPr>
                  <m:ctrlPr>
                    <w:rPr>
                      <w:rFonts w:ascii="Cambria Math" w:eastAsia="MS PGothic" w:hAnsi="Cambria Math" w:cs="Calibri"/>
                      <w:lang w:val="en-US"/>
                    </w:rPr>
                  </m:ctrlPr>
                </m:sSubPr>
                <m:e>
                  <m:r>
                    <w:rPr>
                      <w:rFonts w:ascii="Cambria Math" w:eastAsia="Calibri" w:hAnsi="Cambria Math" w:cs="Arial"/>
                    </w:rPr>
                    <m:t>SSR</m:t>
                  </m:r>
                </m:e>
                <m:sub>
                  <m:d>
                    <m:dPr>
                      <m:ctrlPr>
                        <w:rPr>
                          <w:rFonts w:ascii="Cambria Math" w:eastAsia="MS PGothic" w:hAnsi="Cambria Math" w:cs="Calibri"/>
                          <w:lang w:val="en-US"/>
                        </w:rPr>
                      </m:ctrlPr>
                    </m:dPr>
                    <m:e>
                      <m:r>
                        <w:rPr>
                          <w:rFonts w:ascii="Cambria Math" w:eastAsia="Calibri" w:hAnsi="Cambria Math" w:cs="Arial"/>
                        </w:rPr>
                        <m:t>t-2</m:t>
                      </m:r>
                    </m:e>
                  </m:d>
                </m:sub>
              </m:sSub>
            </m:num>
            <m:den>
              <m:sSub>
                <m:sSubPr>
                  <m:ctrlPr>
                    <w:rPr>
                      <w:rFonts w:ascii="Cambria Math" w:eastAsia="MS PGothic" w:hAnsi="Cambria Math" w:cs="Calibri"/>
                      <w:lang w:val="en-US"/>
                    </w:rPr>
                  </m:ctrlPr>
                </m:sSubPr>
                <m:e>
                  <m:r>
                    <w:rPr>
                      <w:rFonts w:ascii="Cambria Math" w:eastAsia="Calibri" w:hAnsi="Cambria Math" w:cs="Arial"/>
                    </w:rPr>
                    <m:t>N</m:t>
                  </m:r>
                </m:e>
                <m:sub>
                  <m:d>
                    <m:dPr>
                      <m:ctrlPr>
                        <w:rPr>
                          <w:rFonts w:ascii="Cambria Math" w:eastAsia="MS PGothic" w:hAnsi="Cambria Math" w:cs="Calibri"/>
                          <w:lang w:val="en-US"/>
                        </w:rPr>
                      </m:ctrlPr>
                    </m:dPr>
                    <m:e>
                      <m:r>
                        <w:rPr>
                          <w:rFonts w:ascii="Cambria Math" w:eastAsia="Calibri" w:hAnsi="Cambria Math" w:cs="Arial"/>
                        </w:rPr>
                        <m:t>t-1</m:t>
                      </m:r>
                    </m:e>
                  </m:d>
                </m:sub>
              </m:sSub>
            </m:den>
          </m:f>
          <m:d>
            <m:dPr>
              <m:ctrlPr>
                <w:rPr>
                  <w:rFonts w:ascii="Cambria Math" w:eastAsia="MS PGothic" w:hAnsi="Cambria Math" w:cs="Calibri"/>
                  <w:lang w:val="en-US"/>
                </w:rPr>
              </m:ctrlPr>
            </m:dPr>
            <m:e>
              <m:r>
                <w:rPr>
                  <w:rFonts w:ascii="Cambria Math" w:eastAsia="Calibri" w:hAnsi="Cambria Math" w:cs="Arial"/>
                </w:rPr>
                <m:t>1-</m:t>
              </m:r>
              <m:sSubSup>
                <m:sSubSupPr>
                  <m:ctrlPr>
                    <w:rPr>
                      <w:rFonts w:ascii="Cambria Math" w:eastAsia="MS PGothic" w:hAnsi="Cambria Math" w:cs="Calibri"/>
                      <w:b/>
                      <w:bCs/>
                      <w:i/>
                      <w:iCs/>
                      <w:lang w:val="en-US"/>
                    </w:rPr>
                  </m:ctrlPr>
                </m:sSubSupPr>
                <m:e>
                  <m:r>
                    <m:rPr>
                      <m:sty m:val="bi"/>
                    </m:rPr>
                    <w:rPr>
                      <w:rFonts w:ascii="Cambria Math" w:eastAsia="Calibri" w:hAnsi="Cambria Math" w:cs="Arial"/>
                    </w:rPr>
                    <m:t>DSC</m:t>
                  </m:r>
                </m:e>
                <m:sub>
                  <m:r>
                    <m:rPr>
                      <m:sty m:val="bi"/>
                    </m:rPr>
                    <w:rPr>
                      <w:rFonts w:ascii="Cambria Math" w:eastAsia="Calibri" w:hAnsi="Cambria Math" w:cs="Arial"/>
                    </w:rPr>
                    <m:t>(t)</m:t>
                  </m:r>
                </m:sub>
                <m:sup>
                  <m:r>
                    <m:rPr>
                      <m:sty m:val="bi"/>
                    </m:rPr>
                    <w:rPr>
                      <w:rFonts w:ascii="Cambria Math" w:eastAsia="Calibri" w:hAnsi="Cambria Math" w:cs="Arial"/>
                    </w:rPr>
                    <m:t>i</m:t>
                  </m:r>
                </m:sup>
              </m:sSubSup>
            </m:e>
          </m:d>
        </m:oMath>
      </m:oMathPara>
    </w:p>
    <w:p w14:paraId="73DA7517" w14:textId="3C78C874" w:rsidR="00703A04" w:rsidRPr="00D97EEA" w:rsidRDefault="00FF534B" w:rsidP="00FF534B">
      <w:pPr>
        <w:jc w:val="both"/>
        <w:rPr>
          <w:rFonts w:eastAsia="Calibri"/>
          <w:sz w:val="20"/>
          <w:szCs w:val="20"/>
          <w:lang w:eastAsia="en-GB"/>
        </w:rPr>
      </w:pPr>
      <w:r w:rsidRPr="00D97EEA">
        <w:rPr>
          <w:rFonts w:eastAsia="Calibri"/>
          <w:sz w:val="20"/>
          <w:szCs w:val="20"/>
          <w:lang w:eastAsia="en-GB"/>
        </w:rPr>
        <w:t>Där:</w:t>
      </w:r>
    </w:p>
    <w:p w14:paraId="096F68F5" w14:textId="77777777" w:rsidR="00FF534B" w:rsidRPr="00D97EEA" w:rsidRDefault="00FF534B" w:rsidP="00FF534B">
      <w:pPr>
        <w:jc w:val="both"/>
        <w:rPr>
          <w:rFonts w:eastAsia="Calibri"/>
          <w:sz w:val="20"/>
          <w:szCs w:val="20"/>
          <w:lang w:eastAsia="en-GB"/>
        </w:rPr>
      </w:pPr>
    </w:p>
    <w:p w14:paraId="1ECAF7AE" w14:textId="5123A906" w:rsidR="00703A04" w:rsidRPr="00D97EEA" w:rsidRDefault="00703A04" w:rsidP="00FF534B">
      <w:pPr>
        <w:jc w:val="both"/>
        <w:rPr>
          <w:rFonts w:eastAsia="Calibri"/>
          <w:sz w:val="20"/>
          <w:szCs w:val="20"/>
          <w:lang w:val="da-DK" w:eastAsia="en-GB"/>
        </w:rPr>
      </w:pPr>
      <w:r w:rsidRPr="00D97EEA">
        <w:rPr>
          <w:rFonts w:eastAsia="Calibri"/>
          <w:sz w:val="20"/>
          <w:szCs w:val="20"/>
          <w:lang w:val="da-DK" w:eastAsia="en-GB"/>
        </w:rPr>
        <w:t>"</w:t>
      </w:r>
      <m:oMath>
        <m:sSubSup>
          <m:sSubSupPr>
            <m:ctrlPr>
              <w:rPr>
                <w:rFonts w:ascii="Cambria Math" w:eastAsia="Calibri" w:hAnsi="Cambria Math"/>
                <w:b/>
                <w:bCs/>
                <w:i/>
                <w:iCs/>
                <w:sz w:val="20"/>
                <w:szCs w:val="20"/>
                <w:lang w:val="en-GB" w:eastAsia="en-GB"/>
              </w:rPr>
            </m:ctrlPr>
          </m:sSubSupPr>
          <m:e>
            <m:r>
              <m:rPr>
                <m:sty m:val="bi"/>
              </m:rPr>
              <w:rPr>
                <w:rFonts w:ascii="Cambria Math" w:eastAsia="Calibri" w:hAnsi="Cambria Math"/>
                <w:sz w:val="20"/>
                <w:szCs w:val="20"/>
                <w:lang w:val="en-GB" w:eastAsia="en-GB"/>
              </w:rPr>
              <m:t>SCE</m:t>
            </m:r>
          </m:e>
          <m:sub>
            <m:r>
              <m:rPr>
                <m:sty m:val="bi"/>
              </m:rPr>
              <w:rPr>
                <w:rFonts w:ascii="Cambria Math" w:eastAsia="Calibri" w:hAnsi="Cambria Math"/>
                <w:sz w:val="20"/>
                <w:szCs w:val="20"/>
                <w:lang w:val="da-DK" w:eastAsia="en-GB"/>
              </w:rPr>
              <m:t>(</m:t>
            </m:r>
            <m:r>
              <m:rPr>
                <m:sty m:val="bi"/>
              </m:rPr>
              <w:rPr>
                <w:rFonts w:ascii="Cambria Math" w:eastAsia="Calibri" w:hAnsi="Cambria Math"/>
                <w:sz w:val="20"/>
                <w:szCs w:val="20"/>
                <w:lang w:val="en-GB" w:eastAsia="en-GB"/>
              </w:rPr>
              <m:t>t</m:t>
            </m:r>
            <m:r>
              <m:rPr>
                <m:sty m:val="bi"/>
              </m:rPr>
              <w:rPr>
                <w:rFonts w:ascii="Cambria Math" w:eastAsia="Calibri" w:hAnsi="Cambria Math"/>
                <w:sz w:val="20"/>
                <w:szCs w:val="20"/>
                <w:lang w:val="da-DK" w:eastAsia="en-GB"/>
              </w:rPr>
              <m:t>)</m:t>
            </m:r>
          </m:sub>
          <m:sup>
            <m:r>
              <m:rPr>
                <m:sty m:val="bi"/>
              </m:rPr>
              <w:rPr>
                <w:rFonts w:ascii="Cambria Math" w:eastAsia="Calibri" w:hAnsi="Cambria Math"/>
                <w:sz w:val="20"/>
                <w:szCs w:val="20"/>
                <w:lang w:val="en-GB" w:eastAsia="en-GB"/>
              </w:rPr>
              <m:t>i</m:t>
            </m:r>
          </m:sup>
        </m:sSubSup>
      </m:oMath>
      <w:r w:rsidRPr="00D97EEA">
        <w:rPr>
          <w:rFonts w:eastAsia="Calibri"/>
          <w:sz w:val="20"/>
          <w:szCs w:val="20"/>
          <w:lang w:val="da-DK" w:eastAsia="en-GB"/>
        </w:rPr>
        <w:t xml:space="preserve">" </w:t>
      </w:r>
      <w:r w:rsidR="00FF534B" w:rsidRPr="00D97EEA">
        <w:rPr>
          <w:rFonts w:eastAsia="Calibri"/>
          <w:sz w:val="20"/>
          <w:szCs w:val="20"/>
          <w:lang w:val="da-DK" w:eastAsia="en-GB"/>
        </w:rPr>
        <w:t>avser den Enskilda Rätten till Kryptovaluta för en specifik kryptovaluta som ingår i korgen (betecknad "i") på dag "t" dagar efter Emissionsdatumet;</w:t>
      </w:r>
    </w:p>
    <w:p w14:paraId="6B8C9FA8" w14:textId="77777777" w:rsidR="00703A04" w:rsidRPr="00D97EEA" w:rsidRDefault="00703A04" w:rsidP="00703A04">
      <w:pPr>
        <w:jc w:val="both"/>
        <w:rPr>
          <w:rFonts w:eastAsia="Calibri"/>
          <w:sz w:val="20"/>
          <w:szCs w:val="20"/>
          <w:lang w:val="da-DK" w:eastAsia="en-GB"/>
        </w:rPr>
      </w:pPr>
    </w:p>
    <w:p w14:paraId="0CD5DAE2" w14:textId="591EB2F6" w:rsidR="00703A04" w:rsidRPr="00D97EEA" w:rsidRDefault="00703A04" w:rsidP="00FF534B">
      <w:pPr>
        <w:jc w:val="both"/>
        <w:rPr>
          <w:rFonts w:eastAsia="Calibri"/>
          <w:sz w:val="20"/>
          <w:szCs w:val="20"/>
          <w:lang w:val="da-DK" w:eastAsia="en-GB"/>
        </w:rPr>
      </w:pPr>
      <w:r w:rsidRPr="00D97EEA">
        <w:rPr>
          <w:rFonts w:eastAsia="Calibri"/>
          <w:sz w:val="20"/>
          <w:szCs w:val="20"/>
          <w:lang w:val="da-DK" w:eastAsia="en-GB"/>
        </w:rPr>
        <w:t>"</w:t>
      </w:r>
      <w:r w:rsidRPr="00D97EEA">
        <w:rPr>
          <w:rFonts w:eastAsia="Calibri"/>
          <w:b/>
          <w:bCs/>
          <w:sz w:val="20"/>
          <w:szCs w:val="20"/>
          <w:lang w:val="da-DK" w:eastAsia="en-GB"/>
        </w:rPr>
        <w:t>t</w:t>
      </w:r>
      <w:r w:rsidRPr="00D97EEA">
        <w:rPr>
          <w:rFonts w:eastAsia="Calibri"/>
          <w:sz w:val="20"/>
          <w:szCs w:val="20"/>
          <w:lang w:val="da-DK" w:eastAsia="en-GB"/>
        </w:rPr>
        <w:t>"</w:t>
      </w:r>
      <w:r w:rsidRPr="00D97EEA">
        <w:rPr>
          <w:rFonts w:eastAsia="Calibri"/>
          <w:b/>
          <w:bCs/>
          <w:sz w:val="20"/>
          <w:szCs w:val="20"/>
          <w:lang w:val="da-DK" w:eastAsia="en-GB"/>
        </w:rPr>
        <w:t xml:space="preserve"> </w:t>
      </w:r>
      <w:r w:rsidR="00FF534B" w:rsidRPr="00D97EEA">
        <w:rPr>
          <w:rFonts w:eastAsia="Calibri"/>
          <w:sz w:val="20"/>
          <w:szCs w:val="20"/>
          <w:lang w:val="da-DK" w:eastAsia="en-GB"/>
        </w:rPr>
        <w:t>avser antalet kalenderdagar som förflutit sedan Emissionsdatumet;</w:t>
      </w:r>
    </w:p>
    <w:p w14:paraId="143C55C1" w14:textId="77777777" w:rsidR="00FF534B" w:rsidRPr="00D97EEA" w:rsidRDefault="00FF534B" w:rsidP="00703A04">
      <w:pPr>
        <w:jc w:val="both"/>
        <w:rPr>
          <w:rFonts w:eastAsia="Calibri"/>
          <w:b/>
          <w:bCs/>
          <w:sz w:val="20"/>
          <w:szCs w:val="20"/>
          <w:lang w:val="da-DK" w:eastAsia="en-GB"/>
        </w:rPr>
      </w:pPr>
    </w:p>
    <w:p w14:paraId="033AC47B" w14:textId="21992050" w:rsidR="00703A04" w:rsidRPr="00D97EEA" w:rsidRDefault="00703A04" w:rsidP="00FF534B">
      <w:pPr>
        <w:jc w:val="both"/>
        <w:rPr>
          <w:rFonts w:eastAsia="Calibri"/>
          <w:sz w:val="20"/>
          <w:szCs w:val="20"/>
          <w:lang w:val="da-DK" w:eastAsia="en-GB"/>
        </w:rPr>
      </w:pPr>
      <w:r w:rsidRPr="00D97EEA">
        <w:rPr>
          <w:rFonts w:eastAsia="Calibri"/>
          <w:sz w:val="20"/>
          <w:szCs w:val="20"/>
          <w:lang w:val="da-DK" w:eastAsia="en-GB"/>
        </w:rPr>
        <w:t>"</w:t>
      </w:r>
      <m:oMath>
        <m:sSubSup>
          <m:sSubSupPr>
            <m:ctrlPr>
              <w:rPr>
                <w:rFonts w:ascii="Cambria Math" w:eastAsia="Calibri" w:hAnsi="Cambria Math"/>
                <w:b/>
                <w:bCs/>
                <w:i/>
                <w:iCs/>
                <w:sz w:val="20"/>
                <w:szCs w:val="20"/>
                <w:lang w:val="en-GB" w:eastAsia="en-GB"/>
              </w:rPr>
            </m:ctrlPr>
          </m:sSubSupPr>
          <m:e>
            <m:r>
              <m:rPr>
                <m:sty m:val="bi"/>
              </m:rPr>
              <w:rPr>
                <w:rFonts w:ascii="Cambria Math" w:eastAsia="Calibri" w:hAnsi="Cambria Math"/>
                <w:sz w:val="20"/>
                <w:szCs w:val="20"/>
                <w:lang w:val="en-GB" w:eastAsia="en-GB"/>
              </w:rPr>
              <m:t>SCE</m:t>
            </m:r>
          </m:e>
          <m:sub>
            <m:r>
              <m:rPr>
                <m:sty m:val="bi"/>
              </m:rPr>
              <w:rPr>
                <w:rFonts w:ascii="Cambria Math" w:eastAsia="Calibri" w:hAnsi="Cambria Math"/>
                <w:sz w:val="20"/>
                <w:szCs w:val="20"/>
                <w:lang w:val="da-DK" w:eastAsia="en-GB"/>
              </w:rPr>
              <m:t>(</m:t>
            </m:r>
            <m:r>
              <m:rPr>
                <m:sty m:val="bi"/>
              </m:rPr>
              <w:rPr>
                <w:rFonts w:ascii="Cambria Math" w:eastAsia="Calibri" w:hAnsi="Cambria Math"/>
                <w:sz w:val="20"/>
                <w:szCs w:val="20"/>
                <w:lang w:val="en-GB" w:eastAsia="en-GB"/>
              </w:rPr>
              <m:t>t</m:t>
            </m:r>
            <m:r>
              <m:rPr>
                <m:sty m:val="bi"/>
              </m:rPr>
              <w:rPr>
                <w:rFonts w:ascii="Cambria Math" w:eastAsia="Calibri" w:hAnsi="Cambria Math"/>
                <w:sz w:val="20"/>
                <w:szCs w:val="20"/>
                <w:lang w:val="da-DK" w:eastAsia="en-GB"/>
              </w:rPr>
              <m:t>-</m:t>
            </m:r>
            <m:r>
              <m:rPr>
                <m:sty m:val="bi"/>
              </m:rPr>
              <w:rPr>
                <w:rFonts w:ascii="Cambria Math" w:eastAsia="Calibri" w:hAnsi="Cambria Math"/>
                <w:sz w:val="20"/>
                <w:szCs w:val="20"/>
                <w:lang w:val="en-GB" w:eastAsia="en-GB"/>
              </w:rPr>
              <m:t>1</m:t>
            </m:r>
            <m:r>
              <m:rPr>
                <m:sty m:val="bi"/>
              </m:rPr>
              <w:rPr>
                <w:rFonts w:ascii="Cambria Math" w:eastAsia="Calibri" w:hAnsi="Cambria Math"/>
                <w:sz w:val="20"/>
                <w:szCs w:val="20"/>
                <w:lang w:val="da-DK" w:eastAsia="en-GB"/>
              </w:rPr>
              <m:t>)</m:t>
            </m:r>
          </m:sub>
          <m:sup>
            <m:r>
              <m:rPr>
                <m:sty m:val="bi"/>
              </m:rPr>
              <w:rPr>
                <w:rFonts w:ascii="Cambria Math" w:eastAsia="Calibri" w:hAnsi="Cambria Math"/>
                <w:sz w:val="20"/>
                <w:szCs w:val="20"/>
                <w:lang w:val="en-GB" w:eastAsia="en-GB"/>
              </w:rPr>
              <m:t>i</m:t>
            </m:r>
          </m:sup>
        </m:sSubSup>
      </m:oMath>
      <w:r w:rsidRPr="00D97EEA">
        <w:rPr>
          <w:rFonts w:eastAsia="Calibri"/>
          <w:sz w:val="20"/>
          <w:szCs w:val="20"/>
          <w:lang w:val="da-DK" w:eastAsia="en-GB"/>
        </w:rPr>
        <w:t xml:space="preserve">" </w:t>
      </w:r>
      <w:r w:rsidR="00FF534B" w:rsidRPr="00D97EEA">
        <w:rPr>
          <w:rFonts w:eastAsia="Calibri"/>
          <w:sz w:val="20"/>
          <w:szCs w:val="20"/>
          <w:lang w:val="da-DK" w:eastAsia="en-GB"/>
        </w:rPr>
        <w:t>avser den Enskilda Rätten till Kryptovaluta för en specifik kryptovaluta som ingår i korgen (betecknad "i") dagen före dag "t" dagar efter Emissionsdatumet;</w:t>
      </w:r>
    </w:p>
    <w:p w14:paraId="009054E4" w14:textId="77777777" w:rsidR="00703A04" w:rsidRPr="00D97EEA" w:rsidRDefault="00703A04" w:rsidP="00703A04">
      <w:pPr>
        <w:jc w:val="both"/>
        <w:rPr>
          <w:rFonts w:eastAsia="Calibri"/>
          <w:sz w:val="20"/>
          <w:szCs w:val="20"/>
          <w:lang w:val="da-DK" w:eastAsia="en-GB"/>
        </w:rPr>
      </w:pPr>
    </w:p>
    <w:p w14:paraId="3C1556C5" w14:textId="73393939" w:rsidR="00703A04" w:rsidRPr="00D97EEA" w:rsidRDefault="00703A04" w:rsidP="00FF534B">
      <w:pPr>
        <w:jc w:val="both"/>
        <w:rPr>
          <w:rFonts w:eastAsia="Calibri"/>
          <w:sz w:val="20"/>
          <w:szCs w:val="20"/>
          <w:lang w:val="da-DK" w:eastAsia="en-GB"/>
        </w:rPr>
      </w:pPr>
      <w:r w:rsidRPr="00D97EEA">
        <w:rPr>
          <w:rFonts w:eastAsia="Calibri"/>
          <w:sz w:val="20"/>
          <w:szCs w:val="20"/>
          <w:lang w:val="da-DK" w:eastAsia="en-GB"/>
        </w:rPr>
        <w:t>"</w:t>
      </w:r>
      <m:oMath>
        <m:sSub>
          <m:sSubPr>
            <m:ctrlPr>
              <w:rPr>
                <w:rFonts w:ascii="Cambria Math" w:eastAsia="Calibri" w:hAnsi="Cambria Math"/>
                <w:b/>
                <w:bCs/>
                <w:sz w:val="20"/>
                <w:szCs w:val="20"/>
                <w:lang w:val="en-GB" w:eastAsia="en-GB"/>
              </w:rPr>
            </m:ctrlPr>
          </m:sSubPr>
          <m:e>
            <m:r>
              <m:rPr>
                <m:sty m:val="bi"/>
              </m:rPr>
              <w:rPr>
                <w:rFonts w:ascii="Cambria Math" w:eastAsia="Calibri" w:hAnsi="Cambria Math"/>
                <w:sz w:val="20"/>
                <w:szCs w:val="20"/>
                <w:lang w:val="en-GB" w:eastAsia="en-GB"/>
              </w:rPr>
              <m:t>SSR</m:t>
            </m:r>
          </m:e>
          <m:sub>
            <m:d>
              <m:dPr>
                <m:ctrlPr>
                  <w:rPr>
                    <w:rFonts w:ascii="Cambria Math" w:eastAsia="Calibri" w:hAnsi="Cambria Math"/>
                    <w:b/>
                    <w:bCs/>
                    <w:sz w:val="20"/>
                    <w:szCs w:val="20"/>
                    <w:lang w:val="en-GB" w:eastAsia="en-GB"/>
                  </w:rPr>
                </m:ctrlPr>
              </m:dPr>
              <m:e>
                <m:r>
                  <m:rPr>
                    <m:sty m:val="bi"/>
                  </m:rPr>
                  <w:rPr>
                    <w:rFonts w:ascii="Cambria Math" w:eastAsia="Calibri" w:hAnsi="Cambria Math"/>
                    <w:sz w:val="20"/>
                    <w:szCs w:val="20"/>
                    <w:lang w:val="en-GB" w:eastAsia="en-GB"/>
                  </w:rPr>
                  <m:t>t</m:t>
                </m:r>
                <m:r>
                  <m:rPr>
                    <m:sty m:val="bi"/>
                  </m:rPr>
                  <w:rPr>
                    <w:rFonts w:ascii="Cambria Math" w:eastAsia="Calibri" w:hAnsi="Cambria Math"/>
                    <w:sz w:val="20"/>
                    <w:szCs w:val="20"/>
                    <w:lang w:val="da-DK" w:eastAsia="en-GB"/>
                  </w:rPr>
                  <m:t>-</m:t>
                </m:r>
                <m:r>
                  <m:rPr>
                    <m:sty m:val="bi"/>
                  </m:rPr>
                  <w:rPr>
                    <w:rFonts w:ascii="Cambria Math" w:eastAsia="Calibri" w:hAnsi="Cambria Math"/>
                    <w:sz w:val="20"/>
                    <w:szCs w:val="20"/>
                    <w:lang w:val="en-GB" w:eastAsia="en-GB"/>
                  </w:rPr>
                  <m:t>2</m:t>
                </m:r>
              </m:e>
            </m:d>
          </m:sub>
        </m:sSub>
      </m:oMath>
      <w:r w:rsidRPr="00D97EEA">
        <w:rPr>
          <w:rFonts w:eastAsia="Calibri"/>
          <w:sz w:val="20"/>
          <w:szCs w:val="20"/>
          <w:lang w:val="da-DK" w:eastAsia="en-GB"/>
        </w:rPr>
        <w:t xml:space="preserve">" </w:t>
      </w:r>
      <w:proofErr w:type="spellStart"/>
      <w:r w:rsidR="00FF534B" w:rsidRPr="00D97EEA">
        <w:rPr>
          <w:rFonts w:eastAsia="Calibri"/>
          <w:sz w:val="20"/>
          <w:szCs w:val="20"/>
          <w:lang w:val="da-DK" w:eastAsia="en-GB"/>
        </w:rPr>
        <w:t>avser</w:t>
      </w:r>
      <w:proofErr w:type="spellEnd"/>
      <w:r w:rsidR="00FF534B" w:rsidRPr="00D97EEA">
        <w:rPr>
          <w:rFonts w:eastAsia="Calibri"/>
          <w:sz w:val="20"/>
          <w:szCs w:val="20"/>
          <w:lang w:val="da-DK" w:eastAsia="en-GB"/>
        </w:rPr>
        <w:t xml:space="preserve"> de </w:t>
      </w:r>
      <w:proofErr w:type="spellStart"/>
      <w:r w:rsidR="00FF534B" w:rsidRPr="00D97EEA">
        <w:rPr>
          <w:rFonts w:eastAsia="Calibri"/>
          <w:sz w:val="20"/>
          <w:szCs w:val="20"/>
          <w:lang w:val="da-DK" w:eastAsia="en-GB"/>
        </w:rPr>
        <w:t>Enskilda</w:t>
      </w:r>
      <w:proofErr w:type="spellEnd"/>
      <w:r w:rsidR="00FF534B" w:rsidRPr="00D97EEA">
        <w:rPr>
          <w:rFonts w:eastAsia="Calibri"/>
          <w:sz w:val="20"/>
          <w:szCs w:val="20"/>
          <w:lang w:val="da-DK" w:eastAsia="en-GB"/>
        </w:rPr>
        <w:t xml:space="preserve"> stakingbelöningarna uttryckta i respektive kryptovaluta som mottagits (både förvärvade och </w:t>
      </w:r>
      <w:proofErr w:type="spellStart"/>
      <w:r w:rsidR="00FF534B" w:rsidRPr="00D97EEA">
        <w:rPr>
          <w:rFonts w:eastAsia="Calibri"/>
          <w:sz w:val="20"/>
          <w:szCs w:val="20"/>
          <w:lang w:val="da-DK" w:eastAsia="en-GB"/>
        </w:rPr>
        <w:t>upparbetade</w:t>
      </w:r>
      <w:proofErr w:type="spellEnd"/>
      <w:r w:rsidR="00FF534B" w:rsidRPr="00D97EEA">
        <w:rPr>
          <w:rFonts w:eastAsia="Calibri"/>
          <w:sz w:val="20"/>
          <w:szCs w:val="20"/>
          <w:lang w:val="da-DK" w:eastAsia="en-GB"/>
        </w:rPr>
        <w:t xml:space="preserve">) </w:t>
      </w:r>
      <w:proofErr w:type="spellStart"/>
      <w:r w:rsidR="00FF534B" w:rsidRPr="00D97EEA">
        <w:rPr>
          <w:rFonts w:eastAsia="Calibri"/>
          <w:sz w:val="20"/>
          <w:szCs w:val="20"/>
          <w:lang w:val="da-DK" w:eastAsia="en-GB"/>
        </w:rPr>
        <w:t>från</w:t>
      </w:r>
      <w:proofErr w:type="spellEnd"/>
      <w:r w:rsidR="00FF534B" w:rsidRPr="00D97EEA">
        <w:rPr>
          <w:rFonts w:eastAsia="Calibri"/>
          <w:sz w:val="20"/>
          <w:szCs w:val="20"/>
          <w:lang w:val="da-DK" w:eastAsia="en-GB"/>
        </w:rPr>
        <w:t xml:space="preserve"> </w:t>
      </w:r>
      <w:proofErr w:type="spellStart"/>
      <w:r w:rsidR="00FF534B" w:rsidRPr="00D97EEA">
        <w:rPr>
          <w:rFonts w:eastAsia="Calibri"/>
          <w:sz w:val="20"/>
          <w:szCs w:val="20"/>
          <w:lang w:val="da-DK" w:eastAsia="en-GB"/>
        </w:rPr>
        <w:t>staking</w:t>
      </w:r>
      <w:proofErr w:type="spellEnd"/>
      <w:r w:rsidR="00FF534B" w:rsidRPr="00D97EEA">
        <w:rPr>
          <w:rFonts w:eastAsia="Calibri"/>
          <w:sz w:val="20"/>
          <w:szCs w:val="20"/>
          <w:lang w:val="da-DK" w:eastAsia="en-GB"/>
        </w:rPr>
        <w:t xml:space="preserve"> </w:t>
      </w:r>
      <w:proofErr w:type="spellStart"/>
      <w:r w:rsidR="002F0311">
        <w:rPr>
          <w:rFonts w:eastAsia="Calibri"/>
          <w:sz w:val="20"/>
          <w:szCs w:val="20"/>
          <w:lang w:val="da-DK" w:eastAsia="en-GB"/>
        </w:rPr>
        <w:t>tv</w:t>
      </w:r>
      <w:r w:rsidR="002F0311" w:rsidRPr="00D97EEA">
        <w:rPr>
          <w:rFonts w:eastAsia="Calibri"/>
          <w:sz w:val="20"/>
          <w:szCs w:val="20"/>
          <w:lang w:val="da-DK" w:eastAsia="en-GB"/>
        </w:rPr>
        <w:t>å</w:t>
      </w:r>
      <w:proofErr w:type="spellEnd"/>
      <w:r w:rsidR="002F0311" w:rsidRPr="00D97EEA">
        <w:rPr>
          <w:rFonts w:eastAsia="Calibri"/>
          <w:sz w:val="20"/>
          <w:szCs w:val="20"/>
          <w:lang w:val="da-DK" w:eastAsia="en-GB"/>
        </w:rPr>
        <w:t xml:space="preserve"> </w:t>
      </w:r>
      <w:proofErr w:type="spellStart"/>
      <w:r w:rsidR="00FF534B" w:rsidRPr="00D97EEA">
        <w:rPr>
          <w:rFonts w:eastAsia="Calibri"/>
          <w:sz w:val="20"/>
          <w:szCs w:val="20"/>
          <w:lang w:val="da-DK" w:eastAsia="en-GB"/>
        </w:rPr>
        <w:t>dag</w:t>
      </w:r>
      <w:r w:rsidR="002F0311">
        <w:rPr>
          <w:rFonts w:eastAsia="Calibri"/>
          <w:sz w:val="20"/>
          <w:szCs w:val="20"/>
          <w:lang w:val="da-DK" w:eastAsia="en-GB"/>
        </w:rPr>
        <w:t>ar</w:t>
      </w:r>
      <w:proofErr w:type="spellEnd"/>
      <w:r w:rsidR="00FF534B" w:rsidRPr="00D97EEA">
        <w:rPr>
          <w:rFonts w:eastAsia="Calibri"/>
          <w:sz w:val="20"/>
          <w:szCs w:val="20"/>
          <w:lang w:val="da-DK" w:eastAsia="en-GB"/>
        </w:rPr>
        <w:t xml:space="preserve"> </w:t>
      </w:r>
      <w:proofErr w:type="spellStart"/>
      <w:r w:rsidR="00FF534B" w:rsidRPr="00D97EEA">
        <w:rPr>
          <w:rFonts w:eastAsia="Calibri"/>
          <w:sz w:val="20"/>
          <w:szCs w:val="20"/>
          <w:lang w:val="da-DK" w:eastAsia="en-GB"/>
        </w:rPr>
        <w:t>före</w:t>
      </w:r>
      <w:proofErr w:type="spellEnd"/>
      <w:r w:rsidR="00FF534B" w:rsidRPr="00D97EEA">
        <w:rPr>
          <w:rFonts w:eastAsia="Calibri"/>
          <w:sz w:val="20"/>
          <w:szCs w:val="20"/>
          <w:lang w:val="da-DK" w:eastAsia="en-GB"/>
        </w:rPr>
        <w:t xml:space="preserve"> dag "t" dagar efter Emissionsdatumet;</w:t>
      </w:r>
      <w:r w:rsidRPr="00D97EEA">
        <w:rPr>
          <w:rFonts w:eastAsia="Calibri"/>
          <w:sz w:val="20"/>
          <w:szCs w:val="20"/>
          <w:lang w:val="da-DK" w:eastAsia="en-GB"/>
        </w:rPr>
        <w:t xml:space="preserve"> </w:t>
      </w:r>
    </w:p>
    <w:p w14:paraId="19AE86EC" w14:textId="77777777" w:rsidR="00703A04" w:rsidRPr="00D97EEA" w:rsidRDefault="00703A04" w:rsidP="00703A04">
      <w:pPr>
        <w:jc w:val="both"/>
        <w:rPr>
          <w:rFonts w:eastAsia="Calibri"/>
          <w:sz w:val="20"/>
          <w:szCs w:val="20"/>
          <w:lang w:val="da-DK" w:eastAsia="en-GB"/>
        </w:rPr>
      </w:pPr>
    </w:p>
    <w:p w14:paraId="577ADDC8" w14:textId="551A87CC" w:rsidR="00703A04" w:rsidRPr="00D97EEA" w:rsidRDefault="00703A04" w:rsidP="00FF534B">
      <w:pPr>
        <w:jc w:val="both"/>
        <w:rPr>
          <w:rFonts w:eastAsia="Calibri"/>
          <w:sz w:val="20"/>
          <w:szCs w:val="20"/>
          <w:lang w:val="da-DK" w:eastAsia="en-GB"/>
        </w:rPr>
      </w:pPr>
      <w:r w:rsidRPr="00D97EEA">
        <w:rPr>
          <w:rFonts w:eastAsia="Calibri"/>
          <w:sz w:val="20"/>
          <w:szCs w:val="20"/>
          <w:lang w:val="da-DK" w:eastAsia="en-GB"/>
        </w:rPr>
        <w:t>"</w:t>
      </w:r>
      <m:oMath>
        <m:sSub>
          <m:sSubPr>
            <m:ctrlPr>
              <w:rPr>
                <w:rFonts w:ascii="Cambria Math" w:eastAsia="Calibri" w:hAnsi="Cambria Math"/>
                <w:b/>
                <w:bCs/>
                <w:sz w:val="20"/>
                <w:szCs w:val="20"/>
                <w:lang w:val="en-GB" w:eastAsia="en-GB"/>
              </w:rPr>
            </m:ctrlPr>
          </m:sSubPr>
          <m:e>
            <m:r>
              <m:rPr>
                <m:sty m:val="bi"/>
              </m:rPr>
              <w:rPr>
                <w:rFonts w:ascii="Cambria Math" w:eastAsia="Calibri" w:hAnsi="Cambria Math"/>
                <w:sz w:val="20"/>
                <w:szCs w:val="20"/>
                <w:lang w:val="en-GB" w:eastAsia="en-GB"/>
              </w:rPr>
              <m:t>N</m:t>
            </m:r>
          </m:e>
          <m:sub>
            <m:d>
              <m:dPr>
                <m:ctrlPr>
                  <w:rPr>
                    <w:rFonts w:ascii="Cambria Math" w:eastAsia="Calibri" w:hAnsi="Cambria Math"/>
                    <w:b/>
                    <w:bCs/>
                    <w:sz w:val="20"/>
                    <w:szCs w:val="20"/>
                    <w:lang w:val="en-GB" w:eastAsia="en-GB"/>
                  </w:rPr>
                </m:ctrlPr>
              </m:dPr>
              <m:e>
                <m:r>
                  <m:rPr>
                    <m:sty m:val="bi"/>
                  </m:rPr>
                  <w:rPr>
                    <w:rFonts w:ascii="Cambria Math" w:eastAsia="Calibri" w:hAnsi="Cambria Math"/>
                    <w:sz w:val="20"/>
                    <w:szCs w:val="20"/>
                    <w:lang w:val="en-GB" w:eastAsia="en-GB"/>
                  </w:rPr>
                  <m:t>t</m:t>
                </m:r>
                <m:r>
                  <m:rPr>
                    <m:sty m:val="b"/>
                  </m:rPr>
                  <w:rPr>
                    <w:rFonts w:ascii="Cambria Math" w:eastAsia="Calibri" w:hAnsi="Cambria Math"/>
                    <w:sz w:val="20"/>
                    <w:szCs w:val="20"/>
                    <w:lang w:val="da-DK" w:eastAsia="en-GB"/>
                  </w:rPr>
                  <m:t>-</m:t>
                </m:r>
                <m:r>
                  <m:rPr>
                    <m:sty m:val="b"/>
                  </m:rPr>
                  <w:rPr>
                    <w:rFonts w:ascii="Cambria Math" w:eastAsia="Calibri" w:hAnsi="Cambria Math"/>
                    <w:sz w:val="20"/>
                    <w:szCs w:val="20"/>
                    <w:lang w:val="en-GB" w:eastAsia="en-GB"/>
                  </w:rPr>
                  <m:t>1</m:t>
                </m:r>
              </m:e>
            </m:d>
          </m:sub>
        </m:sSub>
      </m:oMath>
      <w:r w:rsidRPr="00D97EEA">
        <w:rPr>
          <w:rFonts w:eastAsia="Calibri"/>
          <w:sz w:val="20"/>
          <w:szCs w:val="20"/>
          <w:lang w:val="da-DK" w:eastAsia="en-GB"/>
        </w:rPr>
        <w:t>"</w:t>
      </w:r>
      <w:r w:rsidRPr="00D97EEA">
        <w:rPr>
          <w:rFonts w:eastAsia="Calibri"/>
          <w:b/>
          <w:bCs/>
          <w:sz w:val="20"/>
          <w:szCs w:val="20"/>
          <w:lang w:val="da-DK" w:eastAsia="en-GB"/>
        </w:rPr>
        <w:t xml:space="preserve"> </w:t>
      </w:r>
      <w:r w:rsidR="00FF534B" w:rsidRPr="00D97EEA">
        <w:rPr>
          <w:rFonts w:eastAsia="Calibri"/>
          <w:sz w:val="20"/>
          <w:szCs w:val="20"/>
          <w:lang w:val="da-DK" w:eastAsia="en-GB"/>
        </w:rPr>
        <w:t>avser antalet obligationer som är utestående i slutet av dagen före dag "t" dagar efter Emissionsdatumet;</w:t>
      </w:r>
    </w:p>
    <w:p w14:paraId="1F9B1787" w14:textId="77777777" w:rsidR="00703A04" w:rsidRPr="00D97EEA" w:rsidRDefault="00703A04" w:rsidP="00703A04">
      <w:pPr>
        <w:jc w:val="both"/>
        <w:rPr>
          <w:rFonts w:eastAsia="Calibri"/>
          <w:sz w:val="20"/>
          <w:szCs w:val="20"/>
          <w:lang w:val="da-DK" w:eastAsia="en-GB"/>
        </w:rPr>
      </w:pPr>
    </w:p>
    <w:p w14:paraId="1BE24FAA" w14:textId="2667A91E" w:rsidR="00703A04" w:rsidRPr="00D97EEA" w:rsidRDefault="00703A04" w:rsidP="00FF534B">
      <w:pPr>
        <w:jc w:val="both"/>
        <w:rPr>
          <w:rFonts w:eastAsia="Calibri"/>
          <w:sz w:val="20"/>
          <w:szCs w:val="20"/>
          <w:lang w:val="da-DK" w:eastAsia="en-GB"/>
        </w:rPr>
      </w:pPr>
      <w:r w:rsidRPr="00D97EEA">
        <w:rPr>
          <w:rFonts w:eastAsia="Calibri"/>
          <w:sz w:val="20"/>
          <w:szCs w:val="20"/>
          <w:lang w:val="da-DK" w:eastAsia="en-GB"/>
        </w:rPr>
        <w:t>"</w:t>
      </w:r>
      <m:oMath>
        <m:r>
          <m:rPr>
            <m:sty m:val="bi"/>
          </m:rPr>
          <w:rPr>
            <w:rFonts w:ascii="Cambria Math" w:eastAsia="Calibri" w:hAnsi="Cambria Math"/>
            <w:sz w:val="20"/>
            <w:szCs w:val="20"/>
            <w:lang w:val="en-GB" w:eastAsia="en-GB"/>
          </w:rPr>
          <m:t>DER</m:t>
        </m:r>
      </m:oMath>
      <w:r w:rsidRPr="00D97EEA">
        <w:rPr>
          <w:rFonts w:eastAsia="Calibri"/>
          <w:sz w:val="20"/>
          <w:szCs w:val="20"/>
          <w:lang w:val="da-DK" w:eastAsia="en-GB"/>
        </w:rPr>
        <w:t xml:space="preserve">" </w:t>
      </w:r>
      <w:r w:rsidR="00FF534B" w:rsidRPr="00D97EEA">
        <w:rPr>
          <w:rFonts w:eastAsia="Calibri"/>
          <w:sz w:val="20"/>
          <w:szCs w:val="20"/>
          <w:lang w:val="da-DK" w:eastAsia="en-GB"/>
        </w:rPr>
        <w:t>avser Minskningstakten för Berättigelse. Minskningstakten för Berättigelse representerar förvaltningsavgiften uttryckt som den takt vid vilken den Enskilda Rätten till Kryptovaluta minskar över tid; och</w:t>
      </w:r>
    </w:p>
    <w:p w14:paraId="5416FA62" w14:textId="77777777" w:rsidR="00703A04" w:rsidRPr="00D97EEA" w:rsidRDefault="00703A04" w:rsidP="00703A04">
      <w:pPr>
        <w:jc w:val="both"/>
        <w:rPr>
          <w:rFonts w:eastAsia="Calibri"/>
          <w:sz w:val="20"/>
          <w:szCs w:val="20"/>
          <w:lang w:val="da-DK" w:eastAsia="en-GB"/>
        </w:rPr>
      </w:pPr>
    </w:p>
    <w:p w14:paraId="10906256" w14:textId="6196B758" w:rsidR="00703A04" w:rsidRPr="00D97EEA" w:rsidRDefault="00703A04" w:rsidP="00FF534B">
      <w:pPr>
        <w:jc w:val="both"/>
        <w:rPr>
          <w:rFonts w:eastAsia="Calibri"/>
          <w:sz w:val="20"/>
          <w:szCs w:val="20"/>
          <w:lang w:val="da-DK" w:eastAsia="en-GB"/>
        </w:rPr>
      </w:pPr>
      <w:r w:rsidRPr="00D97EEA">
        <w:rPr>
          <w:rFonts w:eastAsia="Calibri"/>
          <w:sz w:val="20"/>
          <w:szCs w:val="20"/>
          <w:lang w:val="da-DK" w:eastAsia="en-GB"/>
        </w:rPr>
        <w:t>"</w:t>
      </w:r>
      <m:oMath>
        <m:sSubSup>
          <m:sSubSupPr>
            <m:ctrlPr>
              <w:rPr>
                <w:rFonts w:ascii="Cambria Math" w:eastAsia="Calibri" w:hAnsi="Cambria Math"/>
                <w:b/>
                <w:bCs/>
                <w:i/>
                <w:iCs/>
                <w:sz w:val="20"/>
                <w:szCs w:val="20"/>
                <w:lang w:val="en-GB" w:eastAsia="en-GB"/>
              </w:rPr>
            </m:ctrlPr>
          </m:sSubSupPr>
          <m:e>
            <m:r>
              <m:rPr>
                <m:sty m:val="bi"/>
              </m:rPr>
              <w:rPr>
                <w:rFonts w:ascii="Cambria Math" w:eastAsia="Calibri" w:hAnsi="Cambria Math"/>
                <w:sz w:val="20"/>
                <w:szCs w:val="20"/>
                <w:lang w:val="en-GB" w:eastAsia="en-GB"/>
              </w:rPr>
              <m:t>DSC</m:t>
            </m:r>
          </m:e>
          <m:sub>
            <m:r>
              <m:rPr>
                <m:sty m:val="bi"/>
              </m:rPr>
              <w:rPr>
                <w:rFonts w:ascii="Cambria Math" w:eastAsia="Calibri" w:hAnsi="Cambria Math"/>
                <w:sz w:val="20"/>
                <w:szCs w:val="20"/>
                <w:lang w:val="da-DK" w:eastAsia="en-GB"/>
              </w:rPr>
              <m:t>(</m:t>
            </m:r>
            <m:r>
              <m:rPr>
                <m:sty m:val="bi"/>
              </m:rPr>
              <w:rPr>
                <w:rFonts w:ascii="Cambria Math" w:eastAsia="Calibri" w:hAnsi="Cambria Math"/>
                <w:sz w:val="20"/>
                <w:szCs w:val="20"/>
                <w:lang w:val="en-GB" w:eastAsia="en-GB"/>
              </w:rPr>
              <m:t>t</m:t>
            </m:r>
            <m:r>
              <m:rPr>
                <m:sty m:val="bi"/>
              </m:rPr>
              <w:rPr>
                <w:rFonts w:ascii="Cambria Math" w:eastAsia="Calibri" w:hAnsi="Cambria Math"/>
                <w:sz w:val="20"/>
                <w:szCs w:val="20"/>
                <w:lang w:val="da-DK" w:eastAsia="en-GB"/>
              </w:rPr>
              <m:t>)</m:t>
            </m:r>
          </m:sub>
          <m:sup>
            <m:r>
              <m:rPr>
                <m:sty m:val="bi"/>
              </m:rPr>
              <w:rPr>
                <w:rFonts w:ascii="Cambria Math" w:eastAsia="Calibri" w:hAnsi="Cambria Math"/>
                <w:sz w:val="20"/>
                <w:szCs w:val="20"/>
                <w:lang w:val="en-GB" w:eastAsia="en-GB"/>
              </w:rPr>
              <m:t>i</m:t>
            </m:r>
          </m:sup>
        </m:sSubSup>
      </m:oMath>
      <w:r w:rsidRPr="00D97EEA">
        <w:rPr>
          <w:rFonts w:eastAsia="Calibri"/>
          <w:sz w:val="20"/>
          <w:szCs w:val="20"/>
          <w:lang w:val="da-DK" w:eastAsia="en-GB"/>
        </w:rPr>
        <w:t xml:space="preserve">" </w:t>
      </w:r>
      <w:r w:rsidR="00FF534B" w:rsidRPr="00D97EEA">
        <w:rPr>
          <w:rFonts w:eastAsia="Calibri"/>
          <w:sz w:val="20"/>
          <w:szCs w:val="20"/>
          <w:lang w:val="da-DK" w:eastAsia="en-GB"/>
        </w:rPr>
        <w:t>avser avgifterna som tillämpas på stakingbelöningarna för en specifik kryptovaluta som ingår i korgen (betecknad "i")</w:t>
      </w:r>
      <w:r w:rsidRPr="00D97EEA">
        <w:rPr>
          <w:rFonts w:eastAsia="Calibri"/>
          <w:sz w:val="20"/>
          <w:szCs w:val="20"/>
          <w:lang w:val="da-DK" w:eastAsia="en-GB"/>
        </w:rPr>
        <w:t>.</w:t>
      </w:r>
    </w:p>
    <w:p w14:paraId="6E227DE3" w14:textId="77777777" w:rsidR="00FF534B" w:rsidRPr="00D97EEA" w:rsidRDefault="00FF534B" w:rsidP="00703A04">
      <w:pPr>
        <w:pStyle w:val="wText2"/>
        <w:spacing w:after="60"/>
        <w:ind w:left="0"/>
        <w:rPr>
          <w:sz w:val="20"/>
          <w:szCs w:val="20"/>
          <w:lang w:val="da-DK"/>
        </w:rPr>
      </w:pPr>
    </w:p>
    <w:p w14:paraId="7B33DBC0" w14:textId="77777777" w:rsidR="009D4A74" w:rsidRPr="00D97EEA" w:rsidRDefault="009D4A74" w:rsidP="009D4A74">
      <w:pPr>
        <w:pStyle w:val="wText1"/>
        <w:spacing w:after="60"/>
        <w:ind w:left="0"/>
        <w:rPr>
          <w:sz w:val="20"/>
          <w:szCs w:val="20"/>
          <w:lang w:val="sv-SE"/>
        </w:rPr>
      </w:pPr>
      <w:r w:rsidRPr="00D97EEA">
        <w:rPr>
          <w:sz w:val="20"/>
          <w:szCs w:val="20"/>
          <w:lang w:val="sv-SE"/>
        </w:rPr>
        <w:t>Emissionskursen för investerare som inte är auktoriserade deltagare kommer fastställas löpande.</w:t>
      </w:r>
    </w:p>
    <w:p w14:paraId="0F8251A9" w14:textId="28AB3D78" w:rsidR="009D4A74" w:rsidRPr="00D97EEA" w:rsidRDefault="009D4A74" w:rsidP="009D4A74">
      <w:pPr>
        <w:pStyle w:val="wText1"/>
        <w:spacing w:after="60"/>
        <w:ind w:left="0"/>
        <w:rPr>
          <w:sz w:val="20"/>
          <w:szCs w:val="20"/>
          <w:lang w:val="sv-SE"/>
        </w:rPr>
      </w:pPr>
      <w:r w:rsidRPr="00D97EEA">
        <w:rPr>
          <w:sz w:val="20"/>
          <w:szCs w:val="20"/>
          <w:lang w:val="sv-SE"/>
        </w:rPr>
        <w:t xml:space="preserve">Från och med emissionsdagen skulle rätten till kryptovaluta vara </w:t>
      </w:r>
      <w:proofErr w:type="gramStart"/>
      <w:r w:rsidR="00FF534B" w:rsidRPr="00D97EEA">
        <w:rPr>
          <w:sz w:val="20"/>
          <w:szCs w:val="20"/>
          <w:lang w:val="sv-SE"/>
        </w:rPr>
        <w:t>0.002</w:t>
      </w:r>
      <w:proofErr w:type="gramEnd"/>
      <w:r w:rsidR="00FF534B" w:rsidRPr="00D97EEA">
        <w:rPr>
          <w:sz w:val="20"/>
          <w:szCs w:val="20"/>
          <w:lang w:val="sv-SE"/>
        </w:rPr>
        <w:t xml:space="preserve"> ETH </w:t>
      </w:r>
      <w:r w:rsidRPr="00D97EEA">
        <w:rPr>
          <w:sz w:val="20"/>
          <w:szCs w:val="20"/>
          <w:lang w:val="sv-SE"/>
        </w:rPr>
        <w:t xml:space="preserve">per obligation, dvs. auktoriserade deltagare som köper obligationer från emittenten skulle få en obligation för varje </w:t>
      </w:r>
      <w:r w:rsidR="00FF534B" w:rsidRPr="00D97EEA">
        <w:rPr>
          <w:sz w:val="20"/>
          <w:szCs w:val="20"/>
          <w:lang w:val="sv-SE"/>
        </w:rPr>
        <w:t>0.002 ETH</w:t>
      </w:r>
      <w:r w:rsidRPr="00D97EEA">
        <w:rPr>
          <w:sz w:val="20"/>
          <w:szCs w:val="20"/>
          <w:lang w:val="sv-SE"/>
        </w:rPr>
        <w:t xml:space="preserve">. Dessutom tar </w:t>
      </w:r>
      <w:proofErr w:type="spellStart"/>
      <w:r w:rsidRPr="00D97EEA">
        <w:rPr>
          <w:sz w:val="20"/>
          <w:szCs w:val="20"/>
          <w:lang w:val="sv-SE"/>
        </w:rPr>
        <w:t>emittenten</w:t>
      </w:r>
      <w:proofErr w:type="spellEnd"/>
      <w:r w:rsidRPr="00D97EEA">
        <w:rPr>
          <w:sz w:val="20"/>
          <w:szCs w:val="20"/>
          <w:lang w:val="sv-SE"/>
        </w:rPr>
        <w:t xml:space="preserve"> ut en teckningsavgift på upp till 0,50 procent av </w:t>
      </w:r>
      <w:proofErr w:type="gramStart"/>
      <w:r w:rsidR="00FF534B" w:rsidRPr="00D97EEA">
        <w:rPr>
          <w:sz w:val="20"/>
          <w:szCs w:val="20"/>
          <w:lang w:val="da-DK"/>
        </w:rPr>
        <w:t>0.002</w:t>
      </w:r>
      <w:proofErr w:type="gramEnd"/>
      <w:r w:rsidR="00FF534B" w:rsidRPr="00D97EEA">
        <w:rPr>
          <w:sz w:val="20"/>
          <w:szCs w:val="20"/>
          <w:lang w:val="da-DK"/>
        </w:rPr>
        <w:t xml:space="preserve"> ETH </w:t>
      </w:r>
      <w:r w:rsidRPr="00D97EEA">
        <w:rPr>
          <w:sz w:val="20"/>
          <w:szCs w:val="20"/>
          <w:lang w:val="sv-SE"/>
        </w:rPr>
        <w:t xml:space="preserve">av den auktoriserade deltagaren. Om en investerare köper en obligation från en auktoriserad deltagare med euro skulle euromotsvarigheten till rätten till kryptovaluta från och med den </w:t>
      </w:r>
      <w:r w:rsidR="001609F3" w:rsidRPr="00D97EEA">
        <w:rPr>
          <w:sz w:val="20"/>
          <w:szCs w:val="20"/>
          <w:lang w:val="sv-SE"/>
        </w:rPr>
        <w:t xml:space="preserve">16 </w:t>
      </w:r>
      <w:r w:rsidR="002E4649" w:rsidRPr="00D97EEA">
        <w:rPr>
          <w:sz w:val="20"/>
          <w:szCs w:val="20"/>
          <w:lang w:val="sv-SE"/>
        </w:rPr>
        <w:t>j</w:t>
      </w:r>
      <w:r w:rsidR="001609F3" w:rsidRPr="00D97EEA">
        <w:rPr>
          <w:sz w:val="20"/>
          <w:szCs w:val="20"/>
          <w:lang w:val="sv-SE"/>
        </w:rPr>
        <w:t>anuar</w:t>
      </w:r>
      <w:r w:rsidR="002E4649" w:rsidRPr="00D97EEA">
        <w:rPr>
          <w:sz w:val="20"/>
          <w:szCs w:val="20"/>
          <w:lang w:val="sv-SE"/>
        </w:rPr>
        <w:t>i</w:t>
      </w:r>
      <w:r w:rsidR="001609F3" w:rsidRPr="00D97EEA">
        <w:rPr>
          <w:sz w:val="20"/>
          <w:szCs w:val="20"/>
          <w:lang w:val="sv-SE"/>
        </w:rPr>
        <w:t xml:space="preserve"> 2024</w:t>
      </w:r>
      <w:r w:rsidRPr="00D97EEA">
        <w:rPr>
          <w:sz w:val="20"/>
          <w:szCs w:val="20"/>
          <w:lang w:val="sv-SE"/>
        </w:rPr>
        <w:t xml:space="preserve">, baserat på ett </w:t>
      </w:r>
      <w:r w:rsidR="00FF534B" w:rsidRPr="00D97EEA">
        <w:rPr>
          <w:sz w:val="20"/>
          <w:szCs w:val="20"/>
          <w:lang w:val="sv-SE"/>
        </w:rPr>
        <w:t>ETH</w:t>
      </w:r>
      <w:r w:rsidRPr="00D97EEA">
        <w:rPr>
          <w:sz w:val="20"/>
          <w:szCs w:val="20"/>
          <w:lang w:val="sv-SE"/>
        </w:rPr>
        <w:t xml:space="preserve">-värde på </w:t>
      </w:r>
      <w:r w:rsidR="002E4649" w:rsidRPr="00D97EEA">
        <w:rPr>
          <w:sz w:val="20"/>
          <w:szCs w:val="20"/>
          <w:lang w:val="sv-SE"/>
        </w:rPr>
        <w:t>2,351.11</w:t>
      </w:r>
      <w:r w:rsidR="002E4649" w:rsidRPr="00D97EEA">
        <w:rPr>
          <w:sz w:val="20"/>
          <w:szCs w:val="20"/>
          <w:lang w:val="da-DK"/>
        </w:rPr>
        <w:t xml:space="preserve"> </w:t>
      </w:r>
      <w:r w:rsidRPr="00D97EEA">
        <w:rPr>
          <w:sz w:val="20"/>
          <w:szCs w:val="20"/>
          <w:lang w:val="sv-SE"/>
        </w:rPr>
        <w:t xml:space="preserve">euro vara </w:t>
      </w:r>
      <w:proofErr w:type="gramStart"/>
      <w:r w:rsidR="006141C9" w:rsidRPr="00D97EEA">
        <w:rPr>
          <w:sz w:val="20"/>
          <w:szCs w:val="20"/>
          <w:lang w:val="sv-SE"/>
        </w:rPr>
        <w:t>4.70</w:t>
      </w:r>
      <w:proofErr w:type="gramEnd"/>
      <w:r w:rsidR="006141C9" w:rsidRPr="00D97EEA">
        <w:rPr>
          <w:sz w:val="20"/>
          <w:szCs w:val="20"/>
          <w:lang w:val="da-DK"/>
        </w:rPr>
        <w:t xml:space="preserve"> </w:t>
      </w:r>
      <w:r w:rsidRPr="00D97EEA">
        <w:rPr>
          <w:sz w:val="20"/>
          <w:szCs w:val="20"/>
          <w:lang w:val="sv-SE"/>
        </w:rPr>
        <w:t xml:space="preserve">euro. Med tanke på att varje auktoriserad deltagare enligt eget gottfinnande kan ta ut en teckningsavgift av den investerare till vilken den säljer obligationerna, kan köpkursen för en obligation vara högre än </w:t>
      </w:r>
      <w:proofErr w:type="gramStart"/>
      <w:r w:rsidR="006141C9" w:rsidRPr="00D97EEA">
        <w:rPr>
          <w:sz w:val="20"/>
          <w:szCs w:val="20"/>
          <w:lang w:val="sv-SE"/>
        </w:rPr>
        <w:t>4.70</w:t>
      </w:r>
      <w:proofErr w:type="gramEnd"/>
      <w:r w:rsidR="006141C9" w:rsidRPr="00D97EEA">
        <w:rPr>
          <w:sz w:val="20"/>
          <w:szCs w:val="20"/>
          <w:lang w:val="da-DK"/>
        </w:rPr>
        <w:t xml:space="preserve"> </w:t>
      </w:r>
      <w:r w:rsidRPr="00D97EEA">
        <w:rPr>
          <w:sz w:val="20"/>
          <w:szCs w:val="20"/>
          <w:lang w:val="sv-SE"/>
        </w:rPr>
        <w:t>euro.</w:t>
      </w:r>
    </w:p>
    <w:p w14:paraId="15836C15" w14:textId="77777777" w:rsidR="009D4A74" w:rsidRPr="00D97EEA" w:rsidRDefault="009D4A74" w:rsidP="009D4A74">
      <w:pPr>
        <w:pStyle w:val="wText1"/>
        <w:keepNext/>
        <w:ind w:left="0"/>
        <w:rPr>
          <w:sz w:val="20"/>
          <w:szCs w:val="20"/>
          <w:lang w:val="sv-SE"/>
        </w:rPr>
      </w:pPr>
      <w:r w:rsidRPr="00D97EEA">
        <w:rPr>
          <w:b/>
          <w:i/>
          <w:sz w:val="20"/>
          <w:szCs w:val="20"/>
          <w:lang w:val="sv-SE"/>
        </w:rPr>
        <w:t>Kostnader</w:t>
      </w:r>
      <w:r w:rsidRPr="00D97EEA">
        <w:rPr>
          <w:b/>
          <w:sz w:val="20"/>
          <w:szCs w:val="20"/>
          <w:lang w:val="sv-SE"/>
        </w:rPr>
        <w:t xml:space="preserve">: </w:t>
      </w:r>
      <w:r w:rsidRPr="00D97EEA">
        <w:rPr>
          <w:sz w:val="20"/>
          <w:szCs w:val="20"/>
          <w:lang w:val="sv-SE"/>
        </w:rPr>
        <w:t>De beräknade totala kostnaderna för emissionen och/eller erbjudandet är 35 500 euro. Emittenten tar ut en teckningsavgift på upp till 0,50 procent av obligationens rätt till kryptovaluta från de auktoriserade deltagarna. Emittenten har inget inflytande på huruvida och i vilken utsträckning den auktoriserade deltagaren tar ut ytterligare avgifter. Dessa avgifter kan variera beroende på den auktoriserade deltagaren.</w:t>
      </w:r>
    </w:p>
    <w:p w14:paraId="6DD61122" w14:textId="4C61F19F" w:rsidR="009D4A74" w:rsidRPr="00D97EEA" w:rsidRDefault="009D4A74" w:rsidP="009D4A74">
      <w:pPr>
        <w:pStyle w:val="Heading3"/>
        <w:numPr>
          <w:ilvl w:val="2"/>
          <w:numId w:val="42"/>
        </w:numPr>
        <w:tabs>
          <w:tab w:val="clear" w:pos="1004"/>
          <w:tab w:val="num" w:pos="720"/>
        </w:tabs>
        <w:spacing w:after="60"/>
        <w:ind w:left="720"/>
        <w:rPr>
          <w:b/>
          <w:bCs/>
          <w:sz w:val="20"/>
          <w:szCs w:val="20"/>
        </w:rPr>
      </w:pPr>
      <w:r w:rsidRPr="00D97EEA">
        <w:rPr>
          <w:b/>
          <w:bCs/>
          <w:sz w:val="20"/>
          <w:szCs w:val="20"/>
          <w:lang w:val="sv-SE"/>
        </w:rPr>
        <w:t xml:space="preserve">Varför </w:t>
      </w:r>
      <w:r w:rsidR="00DA6CAA" w:rsidRPr="00D97EEA">
        <w:rPr>
          <w:b/>
          <w:bCs/>
          <w:sz w:val="20"/>
          <w:szCs w:val="20"/>
          <w:lang w:val="sv-SE"/>
        </w:rPr>
        <w:t xml:space="preserve">upprättas </w:t>
      </w:r>
      <w:proofErr w:type="spellStart"/>
      <w:r w:rsidR="00DA6CAA" w:rsidRPr="00D97EEA">
        <w:rPr>
          <w:b/>
          <w:bCs/>
          <w:sz w:val="20"/>
          <w:szCs w:val="20"/>
          <w:lang w:val="sv-SE"/>
        </w:rPr>
        <w:t>detta</w:t>
      </w:r>
      <w:r w:rsidRPr="00D97EEA">
        <w:rPr>
          <w:b/>
          <w:bCs/>
          <w:sz w:val="20"/>
          <w:szCs w:val="20"/>
          <w:lang w:val="sv-SE"/>
        </w:rPr>
        <w:t>grundprospektet</w:t>
      </w:r>
      <w:proofErr w:type="spellEnd"/>
      <w:r w:rsidRPr="00D97EEA">
        <w:rPr>
          <w:b/>
          <w:bCs/>
          <w:sz w:val="20"/>
          <w:szCs w:val="20"/>
        </w:rPr>
        <w:t>?</w:t>
      </w:r>
    </w:p>
    <w:p w14:paraId="485C2556" w14:textId="77777777" w:rsidR="009D4A74" w:rsidRPr="00D97EEA" w:rsidRDefault="009D4A74" w:rsidP="009D4A74">
      <w:pPr>
        <w:pStyle w:val="Heading4"/>
        <w:keepNext/>
        <w:keepLines/>
        <w:numPr>
          <w:ilvl w:val="3"/>
          <w:numId w:val="42"/>
        </w:numPr>
        <w:tabs>
          <w:tab w:val="clear" w:pos="1146"/>
          <w:tab w:val="num" w:pos="720"/>
        </w:tabs>
        <w:spacing w:after="60"/>
        <w:ind w:left="720"/>
        <w:rPr>
          <w:b/>
          <w:sz w:val="20"/>
          <w:szCs w:val="20"/>
          <w:lang w:val="sv-SE"/>
        </w:rPr>
      </w:pPr>
      <w:r w:rsidRPr="00D97EEA">
        <w:rPr>
          <w:b/>
          <w:sz w:val="20"/>
          <w:szCs w:val="20"/>
          <w:lang w:val="sv-SE"/>
        </w:rPr>
        <w:lastRenderedPageBreak/>
        <w:t>Skäl till erbjudandet eller för upptagande till handel på en reglerad marknad</w:t>
      </w:r>
    </w:p>
    <w:p w14:paraId="121121F2" w14:textId="7E6589B8" w:rsidR="009D4A74" w:rsidRPr="00D97EEA" w:rsidRDefault="009D4A74" w:rsidP="009D4A74">
      <w:pPr>
        <w:pStyle w:val="wText1"/>
        <w:ind w:left="0"/>
        <w:rPr>
          <w:sz w:val="20"/>
          <w:szCs w:val="20"/>
          <w:lang w:val="sv-SE"/>
        </w:rPr>
      </w:pPr>
      <w:proofErr w:type="spellStart"/>
      <w:r w:rsidRPr="00D97EEA">
        <w:rPr>
          <w:sz w:val="20"/>
          <w:szCs w:val="20"/>
          <w:lang w:val="sv-SE"/>
        </w:rPr>
        <w:t>Emittenten</w:t>
      </w:r>
      <w:proofErr w:type="spellEnd"/>
      <w:r w:rsidRPr="00D97EEA">
        <w:rPr>
          <w:sz w:val="20"/>
          <w:szCs w:val="20"/>
          <w:lang w:val="sv-SE"/>
        </w:rPr>
        <w:t xml:space="preserve"> </w:t>
      </w:r>
      <w:r w:rsidR="00D56317" w:rsidRPr="00D97EEA">
        <w:rPr>
          <w:sz w:val="20"/>
          <w:szCs w:val="20"/>
          <w:lang w:val="sv-SE"/>
        </w:rPr>
        <w:t>avser</w:t>
      </w:r>
      <w:r w:rsidRPr="00D97EEA">
        <w:rPr>
          <w:sz w:val="20"/>
          <w:szCs w:val="20"/>
          <w:lang w:val="sv-SE"/>
        </w:rPr>
        <w:t xml:space="preserve"> att göra vinster med emissionen av obligationerna. Emittenten gör vinst genom att ta ut teckningsavgifter, vissa inlösenavgifter och den minskande </w:t>
      </w:r>
      <w:r w:rsidR="00D56317" w:rsidRPr="00D97EEA">
        <w:rPr>
          <w:sz w:val="20"/>
          <w:szCs w:val="20"/>
          <w:lang w:val="sv-SE"/>
        </w:rPr>
        <w:t>rättighetsräntan</w:t>
      </w:r>
      <w:r w:rsidRPr="00D97EEA">
        <w:rPr>
          <w:sz w:val="20"/>
          <w:szCs w:val="20"/>
          <w:lang w:val="sv-SE"/>
        </w:rPr>
        <w:t>.</w:t>
      </w:r>
    </w:p>
    <w:p w14:paraId="36500241" w14:textId="18615919" w:rsidR="009D4A74" w:rsidRPr="00D97EEA" w:rsidRDefault="009D4A74" w:rsidP="009D4A74">
      <w:pPr>
        <w:pStyle w:val="Heading4"/>
        <w:keepNext/>
        <w:keepLines/>
        <w:numPr>
          <w:ilvl w:val="3"/>
          <w:numId w:val="42"/>
        </w:numPr>
        <w:tabs>
          <w:tab w:val="clear" w:pos="1146"/>
          <w:tab w:val="num" w:pos="720"/>
        </w:tabs>
        <w:spacing w:after="60"/>
        <w:ind w:left="720"/>
        <w:rPr>
          <w:b/>
          <w:sz w:val="20"/>
          <w:szCs w:val="20"/>
          <w:lang w:val="sv-SE"/>
        </w:rPr>
      </w:pPr>
      <w:r w:rsidRPr="00D97EEA">
        <w:rPr>
          <w:b/>
          <w:sz w:val="20"/>
          <w:szCs w:val="20"/>
          <w:lang w:val="sv-SE"/>
        </w:rPr>
        <w:t xml:space="preserve">Användning och uppskattade nettobelopp </w:t>
      </w:r>
      <w:r w:rsidR="00D56317" w:rsidRPr="00D97EEA">
        <w:rPr>
          <w:b/>
          <w:sz w:val="20"/>
          <w:szCs w:val="20"/>
          <w:lang w:val="sv-SE"/>
        </w:rPr>
        <w:t>av intäkterna</w:t>
      </w:r>
    </w:p>
    <w:p w14:paraId="36733A13" w14:textId="4C83C82C" w:rsidR="009D4A74" w:rsidRPr="00D97EEA" w:rsidRDefault="009D4A74" w:rsidP="009D4A74">
      <w:pPr>
        <w:pStyle w:val="wText1"/>
        <w:ind w:left="0"/>
        <w:rPr>
          <w:sz w:val="20"/>
          <w:szCs w:val="20"/>
          <w:lang w:val="sv-SE"/>
        </w:rPr>
      </w:pPr>
      <w:r w:rsidRPr="00D97EEA">
        <w:rPr>
          <w:sz w:val="20"/>
          <w:szCs w:val="20"/>
          <w:lang w:val="sv-SE"/>
        </w:rPr>
        <w:t>Obligationerna köps från emittenten med kryptovaluta</w:t>
      </w:r>
      <w:r w:rsidR="00D56317" w:rsidRPr="00D97EEA">
        <w:rPr>
          <w:sz w:val="20"/>
          <w:szCs w:val="20"/>
          <w:lang w:val="sv-SE"/>
        </w:rPr>
        <w:t>n</w:t>
      </w:r>
      <w:r w:rsidRPr="00D97EEA">
        <w:rPr>
          <w:sz w:val="20"/>
          <w:szCs w:val="20"/>
          <w:lang w:val="sv-SE"/>
        </w:rPr>
        <w:t xml:space="preserve">. Kryptovalutan som emittenten erhåller genom teckning av obligationerna kommer överföras till förvaringsinstitutets plånboksfil och säkras genom ett säkerhetsavtal till förmån för obligationsinnehavarna, säkerhetsförvaltaren och en obligationsinnehavares representant (om sådan </w:t>
      </w:r>
      <w:r w:rsidR="00D56317" w:rsidRPr="00D97EEA">
        <w:rPr>
          <w:sz w:val="20"/>
          <w:szCs w:val="20"/>
          <w:lang w:val="sv-SE"/>
        </w:rPr>
        <w:t>utses</w:t>
      </w:r>
      <w:r w:rsidRPr="00D97EEA">
        <w:rPr>
          <w:sz w:val="20"/>
          <w:szCs w:val="20"/>
          <w:lang w:val="sv-SE"/>
        </w:rPr>
        <w:t xml:space="preserve">). Baserat på antagandet att sammanlagt </w:t>
      </w:r>
      <w:r w:rsidR="007E5BF0" w:rsidRPr="00D97EEA">
        <w:rPr>
          <w:sz w:val="20"/>
          <w:szCs w:val="20"/>
          <w:lang w:val="sv-SE"/>
        </w:rPr>
        <w:t>3,200,000,000</w:t>
      </w:r>
      <w:r w:rsidRPr="00D97EEA">
        <w:rPr>
          <w:sz w:val="20"/>
          <w:szCs w:val="20"/>
          <w:lang w:val="sv-SE"/>
        </w:rPr>
        <w:t xml:space="preserve"> obligationer säljs och baserat på </w:t>
      </w:r>
      <w:r w:rsidR="007E5BF0" w:rsidRPr="00D97EEA">
        <w:rPr>
          <w:sz w:val="20"/>
          <w:szCs w:val="20"/>
          <w:lang w:val="sv-SE"/>
        </w:rPr>
        <w:t>ETH</w:t>
      </w:r>
      <w:r w:rsidRPr="00D97EEA">
        <w:rPr>
          <w:sz w:val="20"/>
          <w:szCs w:val="20"/>
          <w:lang w:val="sv-SE"/>
        </w:rPr>
        <w:t>-</w:t>
      </w:r>
      <w:proofErr w:type="gramStart"/>
      <w:r w:rsidRPr="00D97EEA">
        <w:rPr>
          <w:sz w:val="20"/>
          <w:szCs w:val="20"/>
          <w:lang w:val="sv-SE"/>
        </w:rPr>
        <w:t xml:space="preserve">värdet </w:t>
      </w:r>
      <w:r w:rsidR="007E5BF0" w:rsidRPr="00D97EEA">
        <w:rPr>
          <w:sz w:val="20"/>
          <w:szCs w:val="20"/>
          <w:lang w:val="sv-SE"/>
        </w:rPr>
        <w:t xml:space="preserve"> EUR</w:t>
      </w:r>
      <w:proofErr w:type="gramEnd"/>
      <w:r w:rsidR="007E5BF0" w:rsidRPr="00D97EEA">
        <w:rPr>
          <w:sz w:val="20"/>
          <w:szCs w:val="20"/>
          <w:lang w:val="sv-SE"/>
        </w:rPr>
        <w:t xml:space="preserve"> </w:t>
      </w:r>
      <w:r w:rsidR="00A8739F" w:rsidRPr="00D97EEA">
        <w:rPr>
          <w:sz w:val="20"/>
          <w:szCs w:val="20"/>
          <w:lang w:val="sv-SE"/>
        </w:rPr>
        <w:t>2,351.11</w:t>
      </w:r>
      <w:r w:rsidR="00A8739F" w:rsidRPr="00D97EEA">
        <w:rPr>
          <w:sz w:val="20"/>
          <w:szCs w:val="20"/>
          <w:lang w:val="da-DK"/>
        </w:rPr>
        <w:t xml:space="preserve"> </w:t>
      </w:r>
      <w:r w:rsidRPr="00D97EEA">
        <w:rPr>
          <w:sz w:val="20"/>
          <w:szCs w:val="20"/>
          <w:lang w:val="sv-SE"/>
        </w:rPr>
        <w:t>(per den</w:t>
      </w:r>
      <w:r w:rsidR="00A8739F" w:rsidRPr="00D97EEA">
        <w:rPr>
          <w:sz w:val="20"/>
          <w:szCs w:val="20"/>
          <w:lang w:val="sv-SE"/>
        </w:rPr>
        <w:t xml:space="preserve"> 16 januari</w:t>
      </w:r>
      <w:r w:rsidR="007E5BF0" w:rsidRPr="00D97EEA">
        <w:rPr>
          <w:sz w:val="20"/>
          <w:szCs w:val="20"/>
          <w:lang w:val="sv-SE"/>
        </w:rPr>
        <w:t xml:space="preserve"> 202</w:t>
      </w:r>
      <w:r w:rsidR="00A8739F" w:rsidRPr="00D97EEA">
        <w:rPr>
          <w:sz w:val="20"/>
          <w:szCs w:val="20"/>
          <w:lang w:val="sv-SE"/>
        </w:rPr>
        <w:t>4</w:t>
      </w:r>
      <w:r w:rsidRPr="00D97EEA">
        <w:rPr>
          <w:sz w:val="20"/>
          <w:szCs w:val="20"/>
          <w:lang w:val="sv-SE"/>
        </w:rPr>
        <w:t xml:space="preserve">), är nettointäkterna för varje 10 000 obligationsenheter </w:t>
      </w:r>
      <w:r w:rsidR="007E5BF0" w:rsidRPr="00D97EEA">
        <w:rPr>
          <w:sz w:val="20"/>
          <w:szCs w:val="20"/>
          <w:lang w:val="sv-SE"/>
        </w:rPr>
        <w:t xml:space="preserve">EUR </w:t>
      </w:r>
      <w:r w:rsidR="009C13D0" w:rsidRPr="00D97EEA">
        <w:rPr>
          <w:sz w:val="20"/>
          <w:szCs w:val="20"/>
          <w:lang w:val="sv-SE"/>
        </w:rPr>
        <w:t>47,022.20</w:t>
      </w:r>
      <w:r w:rsidRPr="00D97EEA">
        <w:rPr>
          <w:sz w:val="20"/>
          <w:szCs w:val="20"/>
          <w:lang w:val="sv-SE"/>
        </w:rPr>
        <w:t>.</w:t>
      </w:r>
    </w:p>
    <w:p w14:paraId="7D87C929" w14:textId="76A3267C" w:rsidR="009D4A74" w:rsidRPr="00D97EEA" w:rsidRDefault="00D56317" w:rsidP="009D4A74">
      <w:pPr>
        <w:pStyle w:val="Heading4"/>
        <w:keepNext/>
        <w:keepLines/>
        <w:numPr>
          <w:ilvl w:val="3"/>
          <w:numId w:val="42"/>
        </w:numPr>
        <w:tabs>
          <w:tab w:val="clear" w:pos="1146"/>
          <w:tab w:val="num" w:pos="720"/>
        </w:tabs>
        <w:spacing w:after="60"/>
        <w:ind w:left="720"/>
        <w:rPr>
          <w:b/>
          <w:sz w:val="20"/>
          <w:szCs w:val="20"/>
          <w:lang w:val="sv-SE"/>
        </w:rPr>
      </w:pPr>
      <w:r w:rsidRPr="00D97EEA">
        <w:rPr>
          <w:b/>
          <w:sz w:val="20"/>
          <w:szCs w:val="20"/>
          <w:lang w:val="sv-SE"/>
        </w:rPr>
        <w:t>Avtal om emissionsgaranti</w:t>
      </w:r>
    </w:p>
    <w:p w14:paraId="5D3D1710" w14:textId="77777777" w:rsidR="009D4A74" w:rsidRPr="00D97EEA" w:rsidRDefault="009D4A74" w:rsidP="009D4A74">
      <w:pPr>
        <w:pStyle w:val="wText1"/>
        <w:ind w:hanging="720"/>
        <w:rPr>
          <w:sz w:val="20"/>
          <w:szCs w:val="20"/>
          <w:lang w:val="sv-SE"/>
        </w:rPr>
      </w:pPr>
      <w:r w:rsidRPr="00D97EEA">
        <w:rPr>
          <w:sz w:val="20"/>
          <w:szCs w:val="20"/>
          <w:lang w:val="sv-SE"/>
        </w:rPr>
        <w:t>Emittenten har inte ingått något garantiavtal.</w:t>
      </w:r>
    </w:p>
    <w:p w14:paraId="0BAAB3AE" w14:textId="6C084F77" w:rsidR="009D4A74" w:rsidRPr="00D97EEA" w:rsidRDefault="009D4A74" w:rsidP="009D4A74">
      <w:pPr>
        <w:pStyle w:val="Heading4"/>
        <w:numPr>
          <w:ilvl w:val="3"/>
          <w:numId w:val="42"/>
        </w:numPr>
        <w:tabs>
          <w:tab w:val="clear" w:pos="1146"/>
          <w:tab w:val="num" w:pos="720"/>
        </w:tabs>
        <w:spacing w:after="60"/>
        <w:ind w:left="720"/>
        <w:rPr>
          <w:b/>
          <w:sz w:val="20"/>
          <w:szCs w:val="20"/>
          <w:lang w:val="sv-SE"/>
        </w:rPr>
      </w:pPr>
      <w:r w:rsidRPr="00D97EEA">
        <w:rPr>
          <w:b/>
          <w:sz w:val="20"/>
          <w:szCs w:val="20"/>
          <w:lang w:val="sv-SE"/>
        </w:rPr>
        <w:t xml:space="preserve">Väsentliga intressekonflikter </w:t>
      </w:r>
      <w:r w:rsidR="00D56317" w:rsidRPr="00D97EEA">
        <w:rPr>
          <w:b/>
          <w:sz w:val="20"/>
          <w:szCs w:val="20"/>
          <w:lang w:val="sv-SE"/>
        </w:rPr>
        <w:t>i samband med</w:t>
      </w:r>
      <w:r w:rsidRPr="00D97EEA">
        <w:rPr>
          <w:b/>
          <w:sz w:val="20"/>
          <w:szCs w:val="20"/>
          <w:lang w:val="sv-SE"/>
        </w:rPr>
        <w:t>erbjudandet eller upptagande till handel</w:t>
      </w:r>
    </w:p>
    <w:p w14:paraId="44C9E9CE" w14:textId="6DD666EF" w:rsidR="00AB12CE" w:rsidRPr="009D4A74" w:rsidRDefault="00D56317" w:rsidP="009D4A74">
      <w:pPr>
        <w:rPr>
          <w:lang w:val="sv-SE"/>
        </w:rPr>
      </w:pPr>
      <w:r w:rsidRPr="00D97EEA">
        <w:rPr>
          <w:sz w:val="20"/>
          <w:szCs w:val="20"/>
          <w:lang w:val="sv-SE"/>
        </w:rPr>
        <w:t>Det finns inga väsentliga intressen, i synnerhet inga väsentliga intressekonflikter i samband med erbjudandet till allmänheten eller upptagandet till handel.</w:t>
      </w:r>
    </w:p>
    <w:sectPr w:rsidR="00AB12CE" w:rsidRPr="009D4A74" w:rsidSect="006D5C52">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1440"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0B3C3" w14:textId="77777777" w:rsidR="00105A60" w:rsidRPr="00821FA1" w:rsidRDefault="00105A60">
      <w:r w:rsidRPr="00821FA1">
        <w:separator/>
      </w:r>
    </w:p>
  </w:endnote>
  <w:endnote w:type="continuationSeparator" w:id="0">
    <w:p w14:paraId="3983447D" w14:textId="77777777" w:rsidR="00105A60" w:rsidRPr="00821FA1" w:rsidRDefault="00105A60">
      <w:r w:rsidRPr="00821FA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49B5" w14:textId="77777777" w:rsidR="007B5B3F" w:rsidRDefault="007B5B3F" w:rsidP="00422980">
    <w:pPr>
      <w:pStyle w:val="Footer"/>
    </w:pPr>
  </w:p>
  <w:tbl>
    <w:tblPr>
      <w:tblW w:w="9027" w:type="dxa"/>
      <w:tblLayout w:type="fixed"/>
      <w:tblLook w:val="0000" w:firstRow="0" w:lastRow="0" w:firstColumn="0" w:lastColumn="0" w:noHBand="0" w:noVBand="0"/>
    </w:tblPr>
    <w:tblGrid>
      <w:gridCol w:w="3611"/>
      <w:gridCol w:w="1805"/>
      <w:gridCol w:w="3611"/>
    </w:tblGrid>
    <w:tr w:rsidR="007B5B3F" w:rsidRPr="00821FA1" w14:paraId="506BF91A" w14:textId="77777777" w:rsidTr="009D4A74">
      <w:tc>
        <w:tcPr>
          <w:tcW w:w="2000" w:type="pct"/>
          <w:shd w:val="clear" w:color="auto" w:fill="auto"/>
          <w:vAlign w:val="bottom"/>
        </w:tcPr>
        <w:p w14:paraId="77F88664" w14:textId="41CC6507" w:rsidR="007B5B3F" w:rsidRPr="009D4A74" w:rsidRDefault="007B5B3F" w:rsidP="009D4A74">
          <w:pPr>
            <w:pStyle w:val="Footer"/>
            <w:rPr>
              <w:sz w:val="12"/>
            </w:rPr>
          </w:pPr>
        </w:p>
      </w:tc>
      <w:tc>
        <w:tcPr>
          <w:tcW w:w="1000" w:type="pct"/>
          <w:shd w:val="clear" w:color="auto" w:fill="auto"/>
        </w:tcPr>
        <w:p w14:paraId="1448A151" w14:textId="77777777" w:rsidR="007B5B3F" w:rsidRPr="00946121" w:rsidRDefault="007B5B3F" w:rsidP="009D4A74">
          <w:pPr>
            <w:pStyle w:val="WCPageNumber"/>
          </w:pPr>
        </w:p>
      </w:tc>
      <w:tc>
        <w:tcPr>
          <w:tcW w:w="2000" w:type="pct"/>
          <w:shd w:val="clear" w:color="auto" w:fill="auto"/>
        </w:tcPr>
        <w:p w14:paraId="416164FC" w14:textId="77777777" w:rsidR="007B5B3F" w:rsidRPr="00422980" w:rsidRDefault="007B5B3F" w:rsidP="009D4A74">
          <w:pPr>
            <w:pStyle w:val="Footer"/>
            <w:jc w:val="right"/>
          </w:pPr>
        </w:p>
      </w:tc>
    </w:tr>
  </w:tbl>
  <w:p w14:paraId="59404751" w14:textId="77777777" w:rsidR="007B5B3F" w:rsidRPr="009D4A74" w:rsidRDefault="007B5B3F" w:rsidP="00422980">
    <w:pPr>
      <w:pStyle w:val="Footer"/>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B8F6C" w14:textId="77777777" w:rsidR="007B5B3F" w:rsidRDefault="007B5B3F" w:rsidP="00422980">
    <w:pPr>
      <w:pStyle w:val="Footer"/>
    </w:pPr>
  </w:p>
  <w:tbl>
    <w:tblPr>
      <w:tblW w:w="9027" w:type="dxa"/>
      <w:tblLayout w:type="fixed"/>
      <w:tblLook w:val="0000" w:firstRow="0" w:lastRow="0" w:firstColumn="0" w:lastColumn="0" w:noHBand="0" w:noVBand="0"/>
    </w:tblPr>
    <w:tblGrid>
      <w:gridCol w:w="3611"/>
      <w:gridCol w:w="1805"/>
      <w:gridCol w:w="3611"/>
    </w:tblGrid>
    <w:tr w:rsidR="007B5B3F" w:rsidRPr="00821FA1" w14:paraId="4B6490DD" w14:textId="77777777" w:rsidTr="009D4A74">
      <w:tc>
        <w:tcPr>
          <w:tcW w:w="2000" w:type="pct"/>
          <w:shd w:val="clear" w:color="auto" w:fill="auto"/>
          <w:vAlign w:val="bottom"/>
        </w:tcPr>
        <w:p w14:paraId="6BFE0D05" w14:textId="5AB46F34" w:rsidR="007B5B3F" w:rsidRPr="009D4A74" w:rsidRDefault="007B5B3F" w:rsidP="009D4A74">
          <w:pPr>
            <w:pStyle w:val="Footer"/>
            <w:rPr>
              <w:sz w:val="12"/>
            </w:rPr>
          </w:pPr>
        </w:p>
      </w:tc>
      <w:tc>
        <w:tcPr>
          <w:tcW w:w="1000" w:type="pct"/>
          <w:shd w:val="clear" w:color="auto" w:fill="auto"/>
        </w:tcPr>
        <w:p w14:paraId="0C465AD3" w14:textId="77777777" w:rsidR="007B5B3F" w:rsidRPr="00946121" w:rsidRDefault="007B5B3F" w:rsidP="009D4A74">
          <w:pPr>
            <w:pStyle w:val="WCPageNumber"/>
          </w:pPr>
          <w:r w:rsidRPr="00946121">
            <w:fldChar w:fldCharType="begin"/>
          </w:r>
          <w:r w:rsidRPr="00946121">
            <w:instrText xml:space="preserve"> PAGE   \* MERGEFORMAT </w:instrText>
          </w:r>
          <w:r w:rsidRPr="00946121">
            <w:fldChar w:fldCharType="separate"/>
          </w:r>
          <w:r w:rsidR="000849C1" w:rsidRPr="00946121">
            <w:rPr>
              <w:noProof/>
            </w:rPr>
            <w:t>2</w:t>
          </w:r>
          <w:r w:rsidRPr="00946121">
            <w:fldChar w:fldCharType="end"/>
          </w:r>
        </w:p>
      </w:tc>
      <w:tc>
        <w:tcPr>
          <w:tcW w:w="2000" w:type="pct"/>
          <w:shd w:val="clear" w:color="auto" w:fill="auto"/>
        </w:tcPr>
        <w:p w14:paraId="02171A9C" w14:textId="77777777" w:rsidR="007B5B3F" w:rsidRPr="00422980" w:rsidRDefault="007B5B3F" w:rsidP="009D4A74">
          <w:pPr>
            <w:pStyle w:val="Footer"/>
            <w:jc w:val="right"/>
          </w:pPr>
        </w:p>
      </w:tc>
    </w:tr>
  </w:tbl>
  <w:p w14:paraId="6C163EFC" w14:textId="77777777" w:rsidR="007B5B3F" w:rsidRPr="009D4A74" w:rsidRDefault="007B5B3F" w:rsidP="00422980">
    <w:pPr>
      <w:pStyle w:val="Footer"/>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05F3" w14:textId="77777777" w:rsidR="007B5B3F" w:rsidRDefault="007B5B3F" w:rsidP="00422980">
    <w:pPr>
      <w:pStyle w:val="Footer"/>
    </w:pPr>
  </w:p>
  <w:tbl>
    <w:tblPr>
      <w:tblW w:w="9027" w:type="dxa"/>
      <w:tblLayout w:type="fixed"/>
      <w:tblLook w:val="0000" w:firstRow="0" w:lastRow="0" w:firstColumn="0" w:lastColumn="0" w:noHBand="0" w:noVBand="0"/>
    </w:tblPr>
    <w:tblGrid>
      <w:gridCol w:w="3611"/>
      <w:gridCol w:w="1805"/>
      <w:gridCol w:w="3611"/>
    </w:tblGrid>
    <w:tr w:rsidR="007B5B3F" w:rsidRPr="00821FA1" w14:paraId="738E1265" w14:textId="77777777" w:rsidTr="009D4A74">
      <w:tc>
        <w:tcPr>
          <w:tcW w:w="2000" w:type="pct"/>
          <w:shd w:val="clear" w:color="auto" w:fill="auto"/>
          <w:vAlign w:val="bottom"/>
        </w:tcPr>
        <w:p w14:paraId="7E9C740A" w14:textId="571AFF99" w:rsidR="007B5B3F" w:rsidRPr="009D4A74" w:rsidRDefault="007B5B3F" w:rsidP="009D4A74">
          <w:pPr>
            <w:pStyle w:val="Footer"/>
            <w:rPr>
              <w:sz w:val="12"/>
            </w:rPr>
          </w:pPr>
        </w:p>
      </w:tc>
      <w:tc>
        <w:tcPr>
          <w:tcW w:w="1000" w:type="pct"/>
          <w:shd w:val="clear" w:color="auto" w:fill="auto"/>
        </w:tcPr>
        <w:p w14:paraId="531CABA0" w14:textId="77777777" w:rsidR="007B5B3F" w:rsidRPr="00946121" w:rsidRDefault="007B5B3F" w:rsidP="009D4A74">
          <w:pPr>
            <w:pStyle w:val="WCPageNumber"/>
          </w:pPr>
        </w:p>
      </w:tc>
      <w:tc>
        <w:tcPr>
          <w:tcW w:w="2000" w:type="pct"/>
          <w:shd w:val="clear" w:color="auto" w:fill="auto"/>
        </w:tcPr>
        <w:p w14:paraId="0DF10D0B" w14:textId="77777777" w:rsidR="007B5B3F" w:rsidRPr="00422980" w:rsidRDefault="007B5B3F" w:rsidP="009D4A74">
          <w:pPr>
            <w:pStyle w:val="Footer"/>
            <w:jc w:val="right"/>
          </w:pPr>
        </w:p>
      </w:tc>
    </w:tr>
  </w:tbl>
  <w:p w14:paraId="2C649DC2" w14:textId="77777777" w:rsidR="007B5B3F" w:rsidRPr="009D4A74" w:rsidRDefault="007B5B3F" w:rsidP="00422980">
    <w:pPr>
      <w:pStyle w:val="Foo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D113C" w14:textId="77777777" w:rsidR="00105A60" w:rsidRPr="00821FA1" w:rsidRDefault="00105A60">
      <w:r w:rsidRPr="00821FA1">
        <w:separator/>
      </w:r>
    </w:p>
  </w:footnote>
  <w:footnote w:type="continuationSeparator" w:id="0">
    <w:p w14:paraId="15656E8D" w14:textId="77777777" w:rsidR="00105A60" w:rsidRPr="00821FA1" w:rsidRDefault="00105A60">
      <w:r w:rsidRPr="00821FA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0821" w14:textId="77777777" w:rsidR="0016113C" w:rsidRDefault="001611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7A4A" w14:textId="77777777" w:rsidR="0016113C" w:rsidRDefault="001611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CFB7" w14:textId="77777777" w:rsidR="0016113C" w:rsidRDefault="0016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2D5"/>
    <w:multiLevelType w:val="multilevel"/>
    <w:tmpl w:val="0CA43E22"/>
    <w:lvl w:ilvl="0">
      <w:start w:val="1"/>
      <w:numFmt w:val="none"/>
      <w:pStyle w:val="Definition1"/>
      <w:suff w:val="nothing"/>
      <w:lvlText w:val=""/>
      <w:lvlJc w:val="left"/>
      <w:pPr>
        <w:ind w:left="720" w:firstLine="0"/>
      </w:pPr>
      <w:rPr>
        <w:rFonts w:hint="default"/>
      </w:rPr>
    </w:lvl>
    <w:lvl w:ilvl="1">
      <w:start w:val="1"/>
      <w:numFmt w:val="lowerLetter"/>
      <w:pStyle w:val="Definition2"/>
      <w:lvlText w:val="(%2)"/>
      <w:lvlJc w:val="left"/>
      <w:pPr>
        <w:tabs>
          <w:tab w:val="num" w:pos="1440"/>
        </w:tabs>
        <w:ind w:left="1440" w:hanging="720"/>
      </w:pPr>
      <w:rPr>
        <w:rFonts w:hint="default"/>
      </w:rPr>
    </w:lvl>
    <w:lvl w:ilvl="2">
      <w:start w:val="1"/>
      <w:numFmt w:val="lowerRoman"/>
      <w:pStyle w:val="Definition3"/>
      <w:lvlText w:val="(%3)"/>
      <w:lvlJc w:val="left"/>
      <w:pPr>
        <w:tabs>
          <w:tab w:val="num" w:pos="2160"/>
        </w:tabs>
        <w:ind w:left="2160" w:hanging="720"/>
      </w:pPr>
      <w:rPr>
        <w:rFonts w:hint="default"/>
      </w:rPr>
    </w:lvl>
    <w:lvl w:ilvl="3">
      <w:start w:val="1"/>
      <w:numFmt w:val="upperLetter"/>
      <w:pStyle w:val="Definition4"/>
      <w:lvlText w:val="(%4)"/>
      <w:lvlJc w:val="left"/>
      <w:pPr>
        <w:tabs>
          <w:tab w:val="num" w:pos="2880"/>
        </w:tabs>
        <w:ind w:left="2880" w:hanging="720"/>
      </w:pPr>
      <w:rPr>
        <w:rFonts w:hint="default"/>
      </w:rPr>
    </w:lvl>
    <w:lvl w:ilvl="4">
      <w:start w:val="1"/>
      <w:numFmt w:val="decimal"/>
      <w:pStyle w:val="Definition5"/>
      <w:lvlText w:val="(%5)"/>
      <w:lvlJc w:val="left"/>
      <w:pPr>
        <w:tabs>
          <w:tab w:val="num" w:pos="3600"/>
        </w:tabs>
        <w:ind w:left="3600" w:hanging="720"/>
      </w:pPr>
      <w:rPr>
        <w:rFonts w:hint="default"/>
      </w:rPr>
    </w:lvl>
    <w:lvl w:ilvl="5">
      <w:start w:val="1"/>
      <w:numFmt w:val="upperRoman"/>
      <w:pStyle w:val="Definition6"/>
      <w:lvlText w:val="(%6)"/>
      <w:lvlJc w:val="left"/>
      <w:pPr>
        <w:tabs>
          <w:tab w:val="num" w:pos="4320"/>
        </w:tabs>
        <w:ind w:left="4320"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1" w15:restartNumberingAfterBreak="0">
    <w:nsid w:val="04A02C84"/>
    <w:multiLevelType w:val="hybridMultilevel"/>
    <w:tmpl w:val="E0BE9582"/>
    <w:lvl w:ilvl="0" w:tplc="801C4F50">
      <w:start w:val="1"/>
      <w:numFmt w:val="bullet"/>
      <w:pStyle w:val="wBullet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C21D73"/>
    <w:multiLevelType w:val="hybridMultilevel"/>
    <w:tmpl w:val="378AF186"/>
    <w:lvl w:ilvl="0" w:tplc="5D7E0178">
      <w:start w:val="1"/>
      <w:numFmt w:val="bullet"/>
      <w:lvlText w:val=""/>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6441CCB"/>
    <w:multiLevelType w:val="hybridMultilevel"/>
    <w:tmpl w:val="F7169536"/>
    <w:lvl w:ilvl="0" w:tplc="4A66C1C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0337E5"/>
    <w:multiLevelType w:val="hybridMultilevel"/>
    <w:tmpl w:val="04848FAE"/>
    <w:lvl w:ilvl="0" w:tplc="02A6DD2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712DF0"/>
    <w:multiLevelType w:val="multilevel"/>
    <w:tmpl w:val="F3A83A70"/>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9CD1EB9"/>
    <w:multiLevelType w:val="multilevel"/>
    <w:tmpl w:val="B6EAA888"/>
    <w:lvl w:ilvl="0">
      <w:start w:val="1"/>
      <w:numFmt w:val="decimal"/>
      <w:lvlText w:val="%1."/>
      <w:lvlJc w:val="left"/>
      <w:pPr>
        <w:tabs>
          <w:tab w:val="num" w:pos="720"/>
        </w:tabs>
        <w:ind w:left="0" w:firstLine="0"/>
      </w:pPr>
      <w:rPr>
        <w:rFonts w:ascii="Times New Roman Bold" w:hAnsi="Times New Roman Bold" w:cs="Times New Roman" w:hint="default"/>
        <w:b/>
        <w:i w:val="0"/>
        <w:color w:val="000000" w:themeColor="text1"/>
        <w:sz w:val="22"/>
      </w:rPr>
    </w:lvl>
    <w:lvl w:ilvl="1">
      <w:start w:val="1"/>
      <w:numFmt w:val="decimal"/>
      <w:isLgl/>
      <w:lvlText w:val="%1.%2."/>
      <w:lvlJc w:val="left"/>
      <w:pPr>
        <w:tabs>
          <w:tab w:val="num" w:pos="720"/>
        </w:tabs>
        <w:ind w:left="720" w:hanging="720"/>
      </w:pPr>
      <w:rPr>
        <w:rFonts w:ascii="Times New Roman Bold" w:hAnsi="Times New Roman Bold" w:cs="Times New Roman" w:hint="default"/>
        <w:b/>
        <w:i w:val="0"/>
        <w:color w:val="auto"/>
        <w:sz w:val="20"/>
      </w:rPr>
    </w:lvl>
    <w:lvl w:ilvl="2">
      <w:start w:val="1"/>
      <w:numFmt w:val="decimal"/>
      <w:lvlText w:val="%1.%2.%3."/>
      <w:lvlJc w:val="left"/>
      <w:pPr>
        <w:tabs>
          <w:tab w:val="num" w:pos="1004"/>
        </w:tabs>
        <w:ind w:left="1004" w:hanging="720"/>
      </w:pPr>
      <w:rPr>
        <w:rFonts w:ascii="Times New Roman" w:eastAsia="MS Mincho" w:hAnsi="Times New Roman" w:cs="Times New Roman" w:hint="default"/>
        <w:b/>
        <w:color w:val="000000" w:themeColor="text1"/>
        <w:sz w:val="20"/>
      </w:rPr>
    </w:lvl>
    <w:lvl w:ilvl="3">
      <w:start w:val="1"/>
      <w:numFmt w:val="decimal"/>
      <w:lvlText w:val="%1.%2.%3.%4."/>
      <w:lvlJc w:val="left"/>
      <w:pPr>
        <w:tabs>
          <w:tab w:val="num" w:pos="1146"/>
        </w:tabs>
        <w:ind w:left="1146" w:hanging="720"/>
      </w:pPr>
      <w:rPr>
        <w:rFonts w:ascii="Times New Roman" w:eastAsia="MS Mincho" w:hAnsi="Times New Roman" w:cs="Times New Roman" w:hint="default"/>
        <w:b/>
        <w:color w:val="000000" w:themeColor="text1"/>
        <w:sz w:val="20"/>
      </w:rPr>
    </w:lvl>
    <w:lvl w:ilvl="4">
      <w:start w:val="1"/>
      <w:numFmt w:val="lowerLetter"/>
      <w:lvlText w:val="(%5)"/>
      <w:lvlJc w:val="left"/>
      <w:pPr>
        <w:tabs>
          <w:tab w:val="num" w:pos="1440"/>
        </w:tabs>
        <w:ind w:left="1440" w:hanging="720"/>
      </w:pPr>
      <w:rPr>
        <w:rFonts w:ascii="Times New Roman" w:eastAsia="MS Mincho" w:hAnsi="Times New Roman" w:cs="Times New Roman" w:hint="default"/>
        <w:color w:val="000000" w:themeColor="text1"/>
        <w:sz w:val="22"/>
      </w:rPr>
    </w:lvl>
    <w:lvl w:ilvl="5">
      <w:start w:val="1"/>
      <w:numFmt w:val="lowerRoman"/>
      <w:lvlText w:val="(%6)"/>
      <w:lvlJc w:val="left"/>
      <w:pPr>
        <w:tabs>
          <w:tab w:val="num" w:pos="1440"/>
        </w:tabs>
        <w:ind w:left="1440" w:hanging="720"/>
      </w:pPr>
      <w:rPr>
        <w:rFonts w:ascii="Times New Roman" w:eastAsia="MS Mincho" w:hAnsi="Times New Roman" w:cs="Times New Roman" w:hint="default"/>
        <w:color w:val="000000" w:themeColor="text1"/>
        <w:sz w:val="22"/>
      </w:rPr>
    </w:lvl>
    <w:lvl w:ilvl="6">
      <w:start w:val="1"/>
      <w:numFmt w:val="upperLetter"/>
      <w:lvlText w:val="(%7)"/>
      <w:lvlJc w:val="left"/>
      <w:pPr>
        <w:tabs>
          <w:tab w:val="num" w:pos="2880"/>
        </w:tabs>
        <w:ind w:left="1440" w:firstLine="720"/>
      </w:pPr>
      <w:rPr>
        <w:rFonts w:ascii="Times New Roman" w:eastAsia="MS Mincho" w:hAnsi="Times New Roman" w:cs="Times New Roman" w:hint="default"/>
        <w:color w:val="000000" w:themeColor="text1"/>
        <w:sz w:val="22"/>
      </w:rPr>
    </w:lvl>
    <w:lvl w:ilvl="7">
      <w:start w:val="1"/>
      <w:numFmt w:val="upperRoman"/>
      <w:lvlText w:val="(%8)"/>
      <w:lvlJc w:val="left"/>
      <w:pPr>
        <w:tabs>
          <w:tab w:val="num" w:pos="3600"/>
        </w:tabs>
        <w:ind w:left="2160" w:firstLine="720"/>
      </w:pPr>
      <w:rPr>
        <w:rFonts w:ascii="Times New Roman" w:eastAsia="MS Mincho" w:hAnsi="Times New Roman" w:cs="Times New Roman" w:hint="default"/>
        <w:color w:val="000000" w:themeColor="text1"/>
        <w:sz w:val="22"/>
      </w:rPr>
    </w:lvl>
    <w:lvl w:ilvl="8">
      <w:start w:val="1"/>
      <w:numFmt w:val="decimal"/>
      <w:lvlText w:val="%9."/>
      <w:lvlJc w:val="left"/>
      <w:pPr>
        <w:tabs>
          <w:tab w:val="num" w:pos="5760"/>
        </w:tabs>
        <w:ind w:left="0" w:firstLine="5040"/>
      </w:pPr>
      <w:rPr>
        <w:rFonts w:ascii="Times New Roman" w:eastAsia="MS Mincho" w:hAnsi="Times New Roman" w:cs="Times New Roman" w:hint="default"/>
        <w:color w:val="000000" w:themeColor="text1"/>
        <w:sz w:val="22"/>
      </w:rPr>
    </w:lvl>
  </w:abstractNum>
  <w:abstractNum w:abstractNumId="7" w15:restartNumberingAfterBreak="0">
    <w:nsid w:val="0D3A0B18"/>
    <w:multiLevelType w:val="multilevel"/>
    <w:tmpl w:val="B5703A80"/>
    <w:lvl w:ilvl="0">
      <w:start w:val="1"/>
      <w:numFmt w:val="decimal"/>
      <w:lvlText w:val="%1."/>
      <w:lvlJc w:val="left"/>
      <w:pPr>
        <w:ind w:left="0" w:firstLine="0"/>
      </w:pPr>
      <w:rPr>
        <w:rFonts w:ascii="Times New Roman" w:hAnsi="Times New Roman" w:hint="default"/>
        <w:b/>
        <w:i w:val="0"/>
        <w:caps/>
        <w:sz w:val="22"/>
      </w:rPr>
    </w:lvl>
    <w:lvl w:ilvl="1">
      <w:start w:val="1"/>
      <w:numFmt w:val="decimal"/>
      <w:lvlText w:val="%1.%2."/>
      <w:lvlJc w:val="left"/>
      <w:pPr>
        <w:tabs>
          <w:tab w:val="num" w:pos="720"/>
        </w:tabs>
        <w:ind w:left="720" w:hanging="720"/>
      </w:pPr>
      <w:rPr>
        <w:rFonts w:ascii="Times New Roman Bold" w:hAnsi="Times New Roman Bold" w:hint="default"/>
        <w:b/>
        <w:i w:val="0"/>
        <w:sz w:val="22"/>
      </w:rPr>
    </w:lvl>
    <w:lvl w:ilvl="2">
      <w:start w:val="1"/>
      <w:numFmt w:val="decimal"/>
      <w:lvlText w:val="%1.%2.%3."/>
      <w:lvlJc w:val="left"/>
      <w:pPr>
        <w:tabs>
          <w:tab w:val="num" w:pos="720"/>
        </w:tabs>
        <w:ind w:left="720" w:hanging="720"/>
      </w:pPr>
      <w:rPr>
        <w:rFonts w:ascii="Times New Roman Bold" w:hAnsi="Times New Roman Bold" w:hint="default"/>
        <w:b/>
        <w:i w:val="0"/>
        <w:color w:val="auto"/>
        <w:sz w:val="22"/>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E77DE6"/>
    <w:multiLevelType w:val="hybridMultilevel"/>
    <w:tmpl w:val="0608C5BE"/>
    <w:lvl w:ilvl="0" w:tplc="A6DE0D9C">
      <w:start w:val="1"/>
      <w:numFmt w:val="bullet"/>
      <w:pStyle w:val="w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A637F"/>
    <w:multiLevelType w:val="multilevel"/>
    <w:tmpl w:val="98CEA960"/>
    <w:lvl w:ilvl="0">
      <w:start w:val="1"/>
      <w:numFmt w:val="upperRoman"/>
      <w:pStyle w:val="Schedule1"/>
      <w:suff w:val="nothing"/>
      <w:lvlText w:val="Option %1"/>
      <w:lvlJc w:val="left"/>
      <w:pPr>
        <w:ind w:left="0" w:firstLine="0"/>
      </w:pPr>
      <w:rPr>
        <w:rFonts w:ascii="Times New Roman Bold" w:hAnsi="Times New Roman Bold" w:cs="Times New Roman" w:hint="default"/>
        <w:b/>
        <w:i w:val="0"/>
        <w:color w:val="000000" w:themeColor="text1"/>
        <w:sz w:val="22"/>
      </w:rPr>
    </w:lvl>
    <w:lvl w:ilvl="1">
      <w:start w:val="1"/>
      <w:numFmt w:val="decimal"/>
      <w:pStyle w:val="Schedule2"/>
      <w:suff w:val="nothing"/>
      <w:lvlText w:val="§ %2"/>
      <w:lvlJc w:val="left"/>
      <w:pPr>
        <w:ind w:left="0" w:firstLine="0"/>
      </w:pPr>
      <w:rPr>
        <w:rFonts w:ascii="Times New Roman" w:hAnsi="Times New Roman" w:cs="Times New Roman" w:hint="default"/>
        <w:b/>
        <w:i w:val="0"/>
        <w:color w:val="000000" w:themeColor="text1"/>
        <w:sz w:val="22"/>
      </w:rPr>
    </w:lvl>
    <w:lvl w:ilvl="2">
      <w:start w:val="1"/>
      <w:numFmt w:val="decimal"/>
      <w:pStyle w:val="Schedule3"/>
      <w:lvlText w:val="(%3)"/>
      <w:lvlJc w:val="left"/>
      <w:pPr>
        <w:tabs>
          <w:tab w:val="num" w:pos="720"/>
        </w:tabs>
        <w:ind w:left="0" w:firstLine="0"/>
      </w:pPr>
      <w:rPr>
        <w:rFonts w:ascii="Times New Roman" w:hAnsi="Times New Roman" w:hint="default"/>
        <w:color w:val="000000" w:themeColor="text1"/>
      </w:rPr>
    </w:lvl>
    <w:lvl w:ilvl="3">
      <w:start w:val="1"/>
      <w:numFmt w:val="lowerLetter"/>
      <w:pStyle w:val="Schedule4"/>
      <w:lvlText w:val="(%4)"/>
      <w:lvlJc w:val="left"/>
      <w:pPr>
        <w:tabs>
          <w:tab w:val="num" w:pos="720"/>
        </w:tabs>
        <w:ind w:left="720" w:hanging="720"/>
      </w:pPr>
      <w:rPr>
        <w:rFonts w:ascii="Times New Roman" w:hAnsi="Times New Roman" w:hint="default"/>
        <w:b w:val="0"/>
        <w:color w:val="000000" w:themeColor="text1"/>
      </w:rPr>
    </w:lvl>
    <w:lvl w:ilvl="4">
      <w:start w:val="1"/>
      <w:numFmt w:val="lowerRoman"/>
      <w:pStyle w:val="Schedule5"/>
      <w:lvlText w:val="(%5)"/>
      <w:lvlJc w:val="left"/>
      <w:pPr>
        <w:tabs>
          <w:tab w:val="num" w:pos="720"/>
        </w:tabs>
        <w:ind w:left="720" w:hanging="720"/>
      </w:pPr>
      <w:rPr>
        <w:rFonts w:hint="default"/>
        <w:color w:val="000000" w:themeColor="text1"/>
      </w:rPr>
    </w:lvl>
    <w:lvl w:ilvl="5">
      <w:start w:val="1"/>
      <w:numFmt w:val="lowerRoman"/>
      <w:pStyle w:val="Schedule6"/>
      <w:lvlText w:val="(%6)"/>
      <w:lvlJc w:val="left"/>
      <w:pPr>
        <w:tabs>
          <w:tab w:val="num" w:pos="2160"/>
        </w:tabs>
        <w:ind w:left="2160" w:hanging="720"/>
      </w:pPr>
      <w:rPr>
        <w:rFonts w:hint="default"/>
        <w:color w:val="000000" w:themeColor="text1"/>
      </w:rPr>
    </w:lvl>
    <w:lvl w:ilvl="6">
      <w:start w:val="1"/>
      <w:numFmt w:val="upperLetter"/>
      <w:pStyle w:val="Schedule7"/>
      <w:lvlText w:val="(%7)"/>
      <w:lvlJc w:val="left"/>
      <w:pPr>
        <w:tabs>
          <w:tab w:val="num" w:pos="2880"/>
        </w:tabs>
        <w:ind w:left="2880" w:hanging="720"/>
      </w:pPr>
      <w:rPr>
        <w:rFonts w:hint="default"/>
        <w:color w:val="000000" w:themeColor="text1"/>
      </w:rPr>
    </w:lvl>
    <w:lvl w:ilvl="7">
      <w:start w:val="1"/>
      <w:numFmt w:val="lowerLetter"/>
      <w:pStyle w:val="Schedule8"/>
      <w:lvlText w:val="(%8)"/>
      <w:lvlJc w:val="left"/>
      <w:pPr>
        <w:tabs>
          <w:tab w:val="num" w:pos="720"/>
        </w:tabs>
        <w:ind w:left="720" w:hanging="720"/>
      </w:pPr>
      <w:rPr>
        <w:rFonts w:hint="default"/>
        <w:b w:val="0"/>
        <w:color w:val="000000" w:themeColor="text1"/>
      </w:rPr>
    </w:lvl>
    <w:lvl w:ilvl="8">
      <w:start w:val="1"/>
      <w:numFmt w:val="lowerRoman"/>
      <w:pStyle w:val="Schedule9"/>
      <w:lvlText w:val="(%9)"/>
      <w:lvlJc w:val="left"/>
      <w:pPr>
        <w:tabs>
          <w:tab w:val="num" w:pos="1440"/>
        </w:tabs>
        <w:ind w:left="1440" w:hanging="720"/>
      </w:pPr>
      <w:rPr>
        <w:rFonts w:hint="default"/>
        <w:color w:val="000000" w:themeColor="text1"/>
      </w:rPr>
    </w:lvl>
  </w:abstractNum>
  <w:abstractNum w:abstractNumId="10" w15:restartNumberingAfterBreak="0">
    <w:nsid w:val="1738669C"/>
    <w:multiLevelType w:val="multilevel"/>
    <w:tmpl w:val="805CE71C"/>
    <w:lvl w:ilvl="0">
      <w:start w:val="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AAA25B7"/>
    <w:multiLevelType w:val="hybridMultilevel"/>
    <w:tmpl w:val="234EE474"/>
    <w:lvl w:ilvl="0" w:tplc="F5D0DD12">
      <w:start w:val="1"/>
      <w:numFmt w:val="decimal"/>
      <w:pStyle w:val="wListNum3"/>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D9E7527"/>
    <w:multiLevelType w:val="multilevel"/>
    <w:tmpl w:val="8F147632"/>
    <w:lvl w:ilvl="0">
      <w:start w:val="1"/>
      <w:numFmt w:val="decimal"/>
      <w:lvlText w:val="%1."/>
      <w:lvlJc w:val="left"/>
      <w:pPr>
        <w:tabs>
          <w:tab w:val="num" w:pos="720"/>
        </w:tabs>
        <w:ind w:left="0" w:firstLine="0"/>
      </w:pPr>
      <w:rPr>
        <w:rFonts w:ascii="Times New Roman Bold" w:hAnsi="Times New Roman Bold" w:cs="Times New Roman" w:hint="default"/>
        <w:b/>
        <w:i w:val="0"/>
        <w:color w:val="000000" w:themeColor="text1"/>
        <w:sz w:val="22"/>
      </w:rPr>
    </w:lvl>
    <w:lvl w:ilvl="1">
      <w:start w:val="1"/>
      <w:numFmt w:val="decimal"/>
      <w:isLgl/>
      <w:lvlText w:val="%1.%2."/>
      <w:lvlJc w:val="left"/>
      <w:pPr>
        <w:tabs>
          <w:tab w:val="num" w:pos="720"/>
        </w:tabs>
        <w:ind w:left="720" w:hanging="720"/>
      </w:pPr>
      <w:rPr>
        <w:rFonts w:ascii="Times New Roman Bold" w:hAnsi="Times New Roman Bold" w:cs="Times New Roman" w:hint="default"/>
        <w:b/>
        <w:i w:val="0"/>
        <w:color w:val="auto"/>
        <w:sz w:val="20"/>
      </w:rPr>
    </w:lvl>
    <w:lvl w:ilvl="2">
      <w:start w:val="1"/>
      <w:numFmt w:val="decimal"/>
      <w:lvlText w:val="%1.%2.%3."/>
      <w:lvlJc w:val="left"/>
      <w:pPr>
        <w:tabs>
          <w:tab w:val="num" w:pos="1004"/>
        </w:tabs>
        <w:ind w:left="1004" w:hanging="720"/>
      </w:pPr>
      <w:rPr>
        <w:rFonts w:ascii="Times New Roman" w:eastAsia="MS Mincho" w:hAnsi="Times New Roman" w:cs="Times New Roman" w:hint="default"/>
        <w:color w:val="000000" w:themeColor="text1"/>
        <w:sz w:val="20"/>
      </w:rPr>
    </w:lvl>
    <w:lvl w:ilvl="3">
      <w:start w:val="1"/>
      <w:numFmt w:val="decimal"/>
      <w:lvlText w:val="%1.%2.%3.%4."/>
      <w:lvlJc w:val="left"/>
      <w:pPr>
        <w:tabs>
          <w:tab w:val="num" w:pos="1146"/>
        </w:tabs>
        <w:ind w:left="1146" w:hanging="720"/>
      </w:pPr>
      <w:rPr>
        <w:rFonts w:ascii="Times New Roman" w:eastAsia="MS Mincho" w:hAnsi="Times New Roman" w:cs="Times New Roman" w:hint="default"/>
        <w:b/>
        <w:color w:val="000000" w:themeColor="text1"/>
        <w:sz w:val="20"/>
      </w:rPr>
    </w:lvl>
    <w:lvl w:ilvl="4">
      <w:start w:val="1"/>
      <w:numFmt w:val="lowerLetter"/>
      <w:lvlText w:val="(%5)"/>
      <w:lvlJc w:val="left"/>
      <w:pPr>
        <w:tabs>
          <w:tab w:val="num" w:pos="1440"/>
        </w:tabs>
        <w:ind w:left="1440" w:hanging="720"/>
      </w:pPr>
      <w:rPr>
        <w:rFonts w:ascii="Times New Roman" w:eastAsia="MS Mincho" w:hAnsi="Times New Roman" w:cs="Times New Roman" w:hint="default"/>
        <w:color w:val="000000" w:themeColor="text1"/>
        <w:sz w:val="22"/>
      </w:rPr>
    </w:lvl>
    <w:lvl w:ilvl="5">
      <w:start w:val="1"/>
      <w:numFmt w:val="lowerRoman"/>
      <w:lvlText w:val="(%6)"/>
      <w:lvlJc w:val="left"/>
      <w:pPr>
        <w:tabs>
          <w:tab w:val="num" w:pos="1440"/>
        </w:tabs>
        <w:ind w:left="1440" w:hanging="720"/>
      </w:pPr>
      <w:rPr>
        <w:rFonts w:ascii="Times New Roman" w:eastAsia="MS Mincho" w:hAnsi="Times New Roman" w:cs="Times New Roman" w:hint="default"/>
        <w:color w:val="000000" w:themeColor="text1"/>
        <w:sz w:val="22"/>
      </w:rPr>
    </w:lvl>
    <w:lvl w:ilvl="6">
      <w:start w:val="1"/>
      <w:numFmt w:val="upperLetter"/>
      <w:lvlText w:val="(%7)"/>
      <w:lvlJc w:val="left"/>
      <w:pPr>
        <w:tabs>
          <w:tab w:val="num" w:pos="2880"/>
        </w:tabs>
        <w:ind w:left="1440" w:firstLine="720"/>
      </w:pPr>
      <w:rPr>
        <w:rFonts w:ascii="Times New Roman" w:eastAsia="MS Mincho" w:hAnsi="Times New Roman" w:cs="Times New Roman" w:hint="default"/>
        <w:color w:val="000000" w:themeColor="text1"/>
        <w:sz w:val="22"/>
      </w:rPr>
    </w:lvl>
    <w:lvl w:ilvl="7">
      <w:start w:val="1"/>
      <w:numFmt w:val="upperRoman"/>
      <w:lvlText w:val="(%8)"/>
      <w:lvlJc w:val="left"/>
      <w:pPr>
        <w:tabs>
          <w:tab w:val="num" w:pos="3600"/>
        </w:tabs>
        <w:ind w:left="2160" w:firstLine="720"/>
      </w:pPr>
      <w:rPr>
        <w:rFonts w:ascii="Times New Roman" w:eastAsia="MS Mincho" w:hAnsi="Times New Roman" w:cs="Times New Roman" w:hint="default"/>
        <w:color w:val="000000" w:themeColor="text1"/>
        <w:sz w:val="22"/>
      </w:rPr>
    </w:lvl>
    <w:lvl w:ilvl="8">
      <w:start w:val="1"/>
      <w:numFmt w:val="decimal"/>
      <w:lvlText w:val="%9."/>
      <w:lvlJc w:val="left"/>
      <w:pPr>
        <w:tabs>
          <w:tab w:val="num" w:pos="5760"/>
        </w:tabs>
        <w:ind w:left="0" w:firstLine="5040"/>
      </w:pPr>
      <w:rPr>
        <w:rFonts w:ascii="Times New Roman" w:eastAsia="MS Mincho" w:hAnsi="Times New Roman" w:cs="Times New Roman" w:hint="default"/>
        <w:color w:val="000000" w:themeColor="text1"/>
        <w:sz w:val="22"/>
      </w:rPr>
    </w:lvl>
  </w:abstractNum>
  <w:abstractNum w:abstractNumId="13" w15:restartNumberingAfterBreak="0">
    <w:nsid w:val="23617166"/>
    <w:multiLevelType w:val="multilevel"/>
    <w:tmpl w:val="0DE2F7A6"/>
    <w:lvl w:ilvl="0">
      <w:start w:val="1"/>
      <w:numFmt w:val="decimal"/>
      <w:pStyle w:val="Heading1"/>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pStyle w:val="Heading2"/>
      <w:isLgl/>
      <w:lvlText w:val="%1.%2"/>
      <w:lvlJc w:val="left"/>
      <w:pPr>
        <w:tabs>
          <w:tab w:val="num" w:pos="720"/>
        </w:tabs>
        <w:ind w:left="720" w:hanging="720"/>
      </w:pPr>
      <w:rPr>
        <w:rFonts w:ascii="Times New Roman" w:hAnsi="Times New Roman" w:cs="Times New Roman" w:hint="default"/>
        <w:b/>
        <w:i w:val="0"/>
        <w:color w:val="000000" w:themeColor="text1"/>
        <w:sz w:val="22"/>
      </w:rPr>
    </w:lvl>
    <w:lvl w:ilvl="2">
      <w:start w:val="1"/>
      <w:numFmt w:val="lowerLetter"/>
      <w:pStyle w:val="Heading3"/>
      <w:lvlText w:val="(%3)"/>
      <w:lvlJc w:val="left"/>
      <w:pPr>
        <w:tabs>
          <w:tab w:val="num" w:pos="1440"/>
        </w:tabs>
        <w:ind w:left="1440" w:hanging="720"/>
      </w:pPr>
      <w:rPr>
        <w:rFonts w:hint="default"/>
        <w:color w:val="000000" w:themeColor="text1"/>
      </w:rPr>
    </w:lvl>
    <w:lvl w:ilvl="3">
      <w:start w:val="1"/>
      <w:numFmt w:val="lowerRoman"/>
      <w:pStyle w:val="Heading4"/>
      <w:lvlText w:val="(%4)"/>
      <w:lvlJc w:val="left"/>
      <w:pPr>
        <w:tabs>
          <w:tab w:val="num" w:pos="2160"/>
        </w:tabs>
        <w:ind w:left="2160" w:hanging="720"/>
      </w:pPr>
      <w:rPr>
        <w:rFonts w:hint="default"/>
        <w:color w:val="000000" w:themeColor="text1"/>
      </w:rPr>
    </w:lvl>
    <w:lvl w:ilvl="4">
      <w:start w:val="1"/>
      <w:numFmt w:val="upperLetter"/>
      <w:pStyle w:val="Heading5"/>
      <w:lvlText w:val="(%5)"/>
      <w:lvlJc w:val="left"/>
      <w:pPr>
        <w:tabs>
          <w:tab w:val="num" w:pos="2880"/>
        </w:tabs>
        <w:ind w:left="2880" w:hanging="720"/>
      </w:pPr>
      <w:rPr>
        <w:rFonts w:hint="default"/>
        <w:color w:val="000000" w:themeColor="text1"/>
      </w:rPr>
    </w:lvl>
    <w:lvl w:ilvl="5">
      <w:start w:val="1"/>
      <w:numFmt w:val="decimal"/>
      <w:pStyle w:val="Heading6"/>
      <w:lvlText w:val="(%6)"/>
      <w:lvlJc w:val="left"/>
      <w:pPr>
        <w:tabs>
          <w:tab w:val="num" w:pos="3600"/>
        </w:tabs>
        <w:ind w:left="3600" w:hanging="720"/>
      </w:pPr>
      <w:rPr>
        <w:rFonts w:hint="default"/>
        <w:color w:val="000000" w:themeColor="text1"/>
      </w:rPr>
    </w:lvl>
    <w:lvl w:ilvl="6">
      <w:start w:val="1"/>
      <w:numFmt w:val="upperRoman"/>
      <w:pStyle w:val="Heading7"/>
      <w:lvlText w:val="(%7)"/>
      <w:lvlJc w:val="left"/>
      <w:pPr>
        <w:tabs>
          <w:tab w:val="num" w:pos="4320"/>
        </w:tabs>
        <w:ind w:left="4320" w:hanging="720"/>
      </w:pPr>
      <w:rPr>
        <w:rFonts w:hint="default"/>
        <w:color w:val="000000" w:themeColor="text1"/>
      </w:rPr>
    </w:lvl>
    <w:lvl w:ilvl="7">
      <w:start w:val="1"/>
      <w:numFmt w:val="none"/>
      <w:pStyle w:val="Heading8"/>
      <w:suff w:val="nothing"/>
      <w:lvlText w:val=""/>
      <w:lvlJc w:val="left"/>
      <w:pPr>
        <w:ind w:left="0" w:firstLine="0"/>
      </w:pPr>
      <w:rPr>
        <w:rFonts w:hint="default"/>
        <w:color w:val="000000" w:themeColor="text1"/>
      </w:rPr>
    </w:lvl>
    <w:lvl w:ilvl="8">
      <w:start w:val="1"/>
      <w:numFmt w:val="none"/>
      <w:pStyle w:val="Heading9"/>
      <w:suff w:val="nothing"/>
      <w:lvlText w:val=""/>
      <w:lvlJc w:val="left"/>
      <w:pPr>
        <w:ind w:left="0" w:firstLine="0"/>
      </w:pPr>
      <w:rPr>
        <w:rFonts w:hint="default"/>
        <w:color w:val="000000" w:themeColor="text1"/>
      </w:rPr>
    </w:lvl>
  </w:abstractNum>
  <w:abstractNum w:abstractNumId="14" w15:restartNumberingAfterBreak="0">
    <w:nsid w:val="25C2345A"/>
    <w:multiLevelType w:val="multilevel"/>
    <w:tmpl w:val="8F147632"/>
    <w:lvl w:ilvl="0">
      <w:start w:val="1"/>
      <w:numFmt w:val="decimal"/>
      <w:lvlText w:val="%1."/>
      <w:lvlJc w:val="left"/>
      <w:pPr>
        <w:tabs>
          <w:tab w:val="num" w:pos="720"/>
        </w:tabs>
        <w:ind w:left="0" w:firstLine="0"/>
      </w:pPr>
      <w:rPr>
        <w:rFonts w:ascii="Times New Roman Bold" w:hAnsi="Times New Roman Bold" w:cs="Times New Roman" w:hint="default"/>
        <w:b/>
        <w:i w:val="0"/>
        <w:color w:val="000000" w:themeColor="text1"/>
        <w:sz w:val="22"/>
      </w:rPr>
    </w:lvl>
    <w:lvl w:ilvl="1">
      <w:start w:val="1"/>
      <w:numFmt w:val="decimal"/>
      <w:isLgl/>
      <w:lvlText w:val="%1.%2."/>
      <w:lvlJc w:val="left"/>
      <w:pPr>
        <w:tabs>
          <w:tab w:val="num" w:pos="720"/>
        </w:tabs>
        <w:ind w:left="720" w:hanging="720"/>
      </w:pPr>
      <w:rPr>
        <w:rFonts w:ascii="Times New Roman Bold" w:hAnsi="Times New Roman Bold" w:cs="Times New Roman" w:hint="default"/>
        <w:b/>
        <w:i w:val="0"/>
        <w:color w:val="auto"/>
        <w:sz w:val="20"/>
      </w:rPr>
    </w:lvl>
    <w:lvl w:ilvl="2">
      <w:start w:val="1"/>
      <w:numFmt w:val="decimal"/>
      <w:lvlText w:val="%1.%2.%3."/>
      <w:lvlJc w:val="left"/>
      <w:pPr>
        <w:tabs>
          <w:tab w:val="num" w:pos="1004"/>
        </w:tabs>
        <w:ind w:left="1004" w:hanging="720"/>
      </w:pPr>
      <w:rPr>
        <w:rFonts w:ascii="Times New Roman" w:eastAsia="MS Mincho" w:hAnsi="Times New Roman" w:cs="Times New Roman" w:hint="default"/>
        <w:color w:val="000000" w:themeColor="text1"/>
        <w:sz w:val="20"/>
      </w:rPr>
    </w:lvl>
    <w:lvl w:ilvl="3">
      <w:start w:val="1"/>
      <w:numFmt w:val="decimal"/>
      <w:lvlText w:val="%1.%2.%3.%4."/>
      <w:lvlJc w:val="left"/>
      <w:pPr>
        <w:tabs>
          <w:tab w:val="num" w:pos="1146"/>
        </w:tabs>
        <w:ind w:left="1146" w:hanging="720"/>
      </w:pPr>
      <w:rPr>
        <w:rFonts w:ascii="Times New Roman" w:eastAsia="MS Mincho" w:hAnsi="Times New Roman" w:cs="Times New Roman" w:hint="default"/>
        <w:b/>
        <w:color w:val="000000" w:themeColor="text1"/>
        <w:sz w:val="20"/>
      </w:rPr>
    </w:lvl>
    <w:lvl w:ilvl="4">
      <w:start w:val="1"/>
      <w:numFmt w:val="lowerLetter"/>
      <w:lvlText w:val="(%5)"/>
      <w:lvlJc w:val="left"/>
      <w:pPr>
        <w:tabs>
          <w:tab w:val="num" w:pos="1440"/>
        </w:tabs>
        <w:ind w:left="1440" w:hanging="720"/>
      </w:pPr>
      <w:rPr>
        <w:rFonts w:ascii="Times New Roman" w:eastAsia="MS Mincho" w:hAnsi="Times New Roman" w:cs="Times New Roman" w:hint="default"/>
        <w:color w:val="000000" w:themeColor="text1"/>
        <w:sz w:val="22"/>
      </w:rPr>
    </w:lvl>
    <w:lvl w:ilvl="5">
      <w:start w:val="1"/>
      <w:numFmt w:val="lowerRoman"/>
      <w:lvlText w:val="(%6)"/>
      <w:lvlJc w:val="left"/>
      <w:pPr>
        <w:tabs>
          <w:tab w:val="num" w:pos="1440"/>
        </w:tabs>
        <w:ind w:left="1440" w:hanging="720"/>
      </w:pPr>
      <w:rPr>
        <w:rFonts w:ascii="Times New Roman" w:eastAsia="MS Mincho" w:hAnsi="Times New Roman" w:cs="Times New Roman" w:hint="default"/>
        <w:color w:val="000000" w:themeColor="text1"/>
        <w:sz w:val="22"/>
      </w:rPr>
    </w:lvl>
    <w:lvl w:ilvl="6">
      <w:start w:val="1"/>
      <w:numFmt w:val="upperLetter"/>
      <w:lvlText w:val="(%7)"/>
      <w:lvlJc w:val="left"/>
      <w:pPr>
        <w:tabs>
          <w:tab w:val="num" w:pos="2880"/>
        </w:tabs>
        <w:ind w:left="1440" w:firstLine="720"/>
      </w:pPr>
      <w:rPr>
        <w:rFonts w:ascii="Times New Roman" w:eastAsia="MS Mincho" w:hAnsi="Times New Roman" w:cs="Times New Roman" w:hint="default"/>
        <w:color w:val="000000" w:themeColor="text1"/>
        <w:sz w:val="22"/>
      </w:rPr>
    </w:lvl>
    <w:lvl w:ilvl="7">
      <w:start w:val="1"/>
      <w:numFmt w:val="upperRoman"/>
      <w:lvlText w:val="(%8)"/>
      <w:lvlJc w:val="left"/>
      <w:pPr>
        <w:tabs>
          <w:tab w:val="num" w:pos="3600"/>
        </w:tabs>
        <w:ind w:left="2160" w:firstLine="720"/>
      </w:pPr>
      <w:rPr>
        <w:rFonts w:ascii="Times New Roman" w:eastAsia="MS Mincho" w:hAnsi="Times New Roman" w:cs="Times New Roman" w:hint="default"/>
        <w:color w:val="000000" w:themeColor="text1"/>
        <w:sz w:val="22"/>
      </w:rPr>
    </w:lvl>
    <w:lvl w:ilvl="8">
      <w:start w:val="1"/>
      <w:numFmt w:val="decimal"/>
      <w:lvlText w:val="%9."/>
      <w:lvlJc w:val="left"/>
      <w:pPr>
        <w:tabs>
          <w:tab w:val="num" w:pos="5760"/>
        </w:tabs>
        <w:ind w:left="0" w:firstLine="5040"/>
      </w:pPr>
      <w:rPr>
        <w:rFonts w:ascii="Times New Roman" w:eastAsia="MS Mincho" w:hAnsi="Times New Roman" w:cs="Times New Roman" w:hint="default"/>
        <w:color w:val="000000" w:themeColor="text1"/>
        <w:sz w:val="22"/>
      </w:rPr>
    </w:lvl>
  </w:abstractNum>
  <w:abstractNum w:abstractNumId="15" w15:restartNumberingAfterBreak="0">
    <w:nsid w:val="262D4BEB"/>
    <w:multiLevelType w:val="multilevel"/>
    <w:tmpl w:val="92820D82"/>
    <w:name w:val="Definition"/>
    <w:lvl w:ilvl="0">
      <w:start w:val="1"/>
      <w:numFmt w:val="none"/>
      <w:suff w:val="nothing"/>
      <w:lvlText w:val=""/>
      <w:lvlJc w:val="left"/>
      <w:pPr>
        <w:ind w:left="720" w:firstLine="0"/>
      </w:pPr>
      <w:rPr>
        <w:rFonts w:ascii="Times New Roman" w:hAnsi="Times New Roman" w:cs="Times New Roman" w:hint="default"/>
        <w:b/>
        <w:i w:val="0"/>
        <w:color w:val="000000" w:themeColor="text1"/>
        <w:sz w:val="22"/>
      </w:rPr>
    </w:lvl>
    <w:lvl w:ilvl="1">
      <w:start w:val="1"/>
      <w:numFmt w:val="lowerLetter"/>
      <w:lvlText w:val="%1(%2)"/>
      <w:lvlJc w:val="left"/>
      <w:pPr>
        <w:tabs>
          <w:tab w:val="num" w:pos="1440"/>
        </w:tabs>
        <w:ind w:left="1440" w:hanging="720"/>
      </w:pPr>
      <w:rPr>
        <w:rFonts w:ascii="Times New Roman" w:eastAsia="MS Mincho" w:hAnsi="Times New Roman" w:cs="Times New Roman" w:hint="default"/>
        <w:b w:val="0"/>
        <w:i w:val="0"/>
        <w:color w:val="000000" w:themeColor="text1"/>
        <w:sz w:val="22"/>
      </w:rPr>
    </w:lvl>
    <w:lvl w:ilvl="2">
      <w:start w:val="1"/>
      <w:numFmt w:val="lowerRoman"/>
      <w:lvlText w:val="(%3)"/>
      <w:lvlJc w:val="left"/>
      <w:pPr>
        <w:tabs>
          <w:tab w:val="num" w:pos="2160"/>
        </w:tabs>
        <w:ind w:left="2160" w:hanging="720"/>
      </w:pPr>
      <w:rPr>
        <w:rFonts w:ascii="Times New Roman" w:hAnsi="Times New Roman" w:hint="default"/>
        <w:color w:val="000000" w:themeColor="text1"/>
      </w:rPr>
    </w:lvl>
    <w:lvl w:ilvl="3">
      <w:start w:val="1"/>
      <w:numFmt w:val="upperLetter"/>
      <w:lvlText w:val="(%4)"/>
      <w:lvlJc w:val="left"/>
      <w:pPr>
        <w:tabs>
          <w:tab w:val="num" w:pos="2880"/>
        </w:tabs>
        <w:ind w:left="2880" w:hanging="720"/>
      </w:pPr>
      <w:rPr>
        <w:rFonts w:ascii="Times New Roman" w:hAnsi="Times New Roman" w:cs="Times New Roman" w:hint="default"/>
        <w:b w:val="0"/>
        <w:i w:val="0"/>
        <w:color w:val="000000" w:themeColor="text1"/>
      </w:rPr>
    </w:lvl>
    <w:lvl w:ilvl="4">
      <w:start w:val="1"/>
      <w:numFmt w:val="decimal"/>
      <w:lvlText w:val="(%5)"/>
      <w:lvlJc w:val="left"/>
      <w:pPr>
        <w:tabs>
          <w:tab w:val="num" w:pos="3600"/>
        </w:tabs>
        <w:ind w:left="3600" w:hanging="720"/>
      </w:pPr>
      <w:rPr>
        <w:rFonts w:ascii="Times New Roman" w:hAnsi="Times New Roman" w:hint="default"/>
        <w:color w:val="000000" w:themeColor="text1"/>
      </w:rPr>
    </w:lvl>
    <w:lvl w:ilvl="5">
      <w:start w:val="1"/>
      <w:numFmt w:val="upperRoman"/>
      <w:lvlText w:val="(%6)"/>
      <w:lvlJc w:val="left"/>
      <w:pPr>
        <w:tabs>
          <w:tab w:val="num" w:pos="4320"/>
        </w:tabs>
        <w:ind w:left="4320" w:hanging="720"/>
      </w:pPr>
      <w:rPr>
        <w:rFonts w:hint="default"/>
        <w:color w:val="000000" w:themeColor="text1"/>
      </w:rPr>
    </w:lvl>
    <w:lvl w:ilvl="6">
      <w:start w:val="1"/>
      <w:numFmt w:val="decimal"/>
      <w:lvlRestart w:val="0"/>
      <w:lvlText w:val="(%7)"/>
      <w:lvlJc w:val="left"/>
      <w:pPr>
        <w:tabs>
          <w:tab w:val="num" w:pos="720"/>
        </w:tabs>
        <w:ind w:left="720" w:hanging="720"/>
      </w:pPr>
      <w:rPr>
        <w:rFonts w:hint="default"/>
        <w:b/>
        <w:i w:val="0"/>
        <w:color w:val="000000" w:themeColor="text1"/>
      </w:rPr>
    </w:lvl>
    <w:lvl w:ilvl="7">
      <w:start w:val="1"/>
      <w:numFmt w:val="upperLetter"/>
      <w:lvlRestart w:val="0"/>
      <w:lvlText w:val="(%8)"/>
      <w:lvlJc w:val="left"/>
      <w:pPr>
        <w:tabs>
          <w:tab w:val="num" w:pos="720"/>
        </w:tabs>
        <w:ind w:left="720" w:hanging="72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6" w15:restartNumberingAfterBreak="0">
    <w:nsid w:val="269F638F"/>
    <w:multiLevelType w:val="multilevel"/>
    <w:tmpl w:val="8F147632"/>
    <w:lvl w:ilvl="0">
      <w:start w:val="1"/>
      <w:numFmt w:val="decimal"/>
      <w:lvlText w:val="%1."/>
      <w:lvlJc w:val="left"/>
      <w:pPr>
        <w:tabs>
          <w:tab w:val="num" w:pos="720"/>
        </w:tabs>
        <w:ind w:left="0" w:firstLine="0"/>
      </w:pPr>
      <w:rPr>
        <w:rFonts w:ascii="Times New Roman Bold" w:hAnsi="Times New Roman Bold" w:cs="Times New Roman" w:hint="default"/>
        <w:b/>
        <w:i w:val="0"/>
        <w:color w:val="000000" w:themeColor="text1"/>
        <w:sz w:val="22"/>
      </w:rPr>
    </w:lvl>
    <w:lvl w:ilvl="1">
      <w:start w:val="1"/>
      <w:numFmt w:val="decimal"/>
      <w:isLgl/>
      <w:lvlText w:val="%1.%2."/>
      <w:lvlJc w:val="left"/>
      <w:pPr>
        <w:tabs>
          <w:tab w:val="num" w:pos="720"/>
        </w:tabs>
        <w:ind w:left="720" w:hanging="720"/>
      </w:pPr>
      <w:rPr>
        <w:rFonts w:ascii="Times New Roman Bold" w:hAnsi="Times New Roman Bold" w:cs="Times New Roman" w:hint="default"/>
        <w:b/>
        <w:i w:val="0"/>
        <w:color w:val="auto"/>
        <w:sz w:val="20"/>
      </w:rPr>
    </w:lvl>
    <w:lvl w:ilvl="2">
      <w:start w:val="1"/>
      <w:numFmt w:val="decimal"/>
      <w:lvlText w:val="%1.%2.%3."/>
      <w:lvlJc w:val="left"/>
      <w:pPr>
        <w:tabs>
          <w:tab w:val="num" w:pos="1004"/>
        </w:tabs>
        <w:ind w:left="1004" w:hanging="720"/>
      </w:pPr>
      <w:rPr>
        <w:rFonts w:ascii="Times New Roman" w:eastAsia="MS Mincho" w:hAnsi="Times New Roman" w:cs="Times New Roman" w:hint="default"/>
        <w:color w:val="000000" w:themeColor="text1"/>
        <w:sz w:val="20"/>
      </w:rPr>
    </w:lvl>
    <w:lvl w:ilvl="3">
      <w:start w:val="1"/>
      <w:numFmt w:val="decimal"/>
      <w:lvlText w:val="%1.%2.%3.%4."/>
      <w:lvlJc w:val="left"/>
      <w:pPr>
        <w:tabs>
          <w:tab w:val="num" w:pos="1146"/>
        </w:tabs>
        <w:ind w:left="1146" w:hanging="720"/>
      </w:pPr>
      <w:rPr>
        <w:rFonts w:ascii="Times New Roman" w:eastAsia="MS Mincho" w:hAnsi="Times New Roman" w:cs="Times New Roman" w:hint="default"/>
        <w:b/>
        <w:color w:val="000000" w:themeColor="text1"/>
        <w:sz w:val="20"/>
      </w:rPr>
    </w:lvl>
    <w:lvl w:ilvl="4">
      <w:start w:val="1"/>
      <w:numFmt w:val="lowerLetter"/>
      <w:lvlText w:val="(%5)"/>
      <w:lvlJc w:val="left"/>
      <w:pPr>
        <w:tabs>
          <w:tab w:val="num" w:pos="1440"/>
        </w:tabs>
        <w:ind w:left="1440" w:hanging="720"/>
      </w:pPr>
      <w:rPr>
        <w:rFonts w:ascii="Times New Roman" w:eastAsia="MS Mincho" w:hAnsi="Times New Roman" w:cs="Times New Roman" w:hint="default"/>
        <w:color w:val="000000" w:themeColor="text1"/>
        <w:sz w:val="22"/>
      </w:rPr>
    </w:lvl>
    <w:lvl w:ilvl="5">
      <w:start w:val="1"/>
      <w:numFmt w:val="lowerRoman"/>
      <w:lvlText w:val="(%6)"/>
      <w:lvlJc w:val="left"/>
      <w:pPr>
        <w:tabs>
          <w:tab w:val="num" w:pos="1440"/>
        </w:tabs>
        <w:ind w:left="1440" w:hanging="720"/>
      </w:pPr>
      <w:rPr>
        <w:rFonts w:ascii="Times New Roman" w:eastAsia="MS Mincho" w:hAnsi="Times New Roman" w:cs="Times New Roman" w:hint="default"/>
        <w:color w:val="000000" w:themeColor="text1"/>
        <w:sz w:val="22"/>
      </w:rPr>
    </w:lvl>
    <w:lvl w:ilvl="6">
      <w:start w:val="1"/>
      <w:numFmt w:val="upperLetter"/>
      <w:lvlText w:val="(%7)"/>
      <w:lvlJc w:val="left"/>
      <w:pPr>
        <w:tabs>
          <w:tab w:val="num" w:pos="2880"/>
        </w:tabs>
        <w:ind w:left="1440" w:firstLine="720"/>
      </w:pPr>
      <w:rPr>
        <w:rFonts w:ascii="Times New Roman" w:eastAsia="MS Mincho" w:hAnsi="Times New Roman" w:cs="Times New Roman" w:hint="default"/>
        <w:color w:val="000000" w:themeColor="text1"/>
        <w:sz w:val="22"/>
      </w:rPr>
    </w:lvl>
    <w:lvl w:ilvl="7">
      <w:start w:val="1"/>
      <w:numFmt w:val="upperRoman"/>
      <w:lvlText w:val="(%8)"/>
      <w:lvlJc w:val="left"/>
      <w:pPr>
        <w:tabs>
          <w:tab w:val="num" w:pos="3600"/>
        </w:tabs>
        <w:ind w:left="2160" w:firstLine="720"/>
      </w:pPr>
      <w:rPr>
        <w:rFonts w:ascii="Times New Roman" w:eastAsia="MS Mincho" w:hAnsi="Times New Roman" w:cs="Times New Roman" w:hint="default"/>
        <w:color w:val="000000" w:themeColor="text1"/>
        <w:sz w:val="22"/>
      </w:rPr>
    </w:lvl>
    <w:lvl w:ilvl="8">
      <w:start w:val="1"/>
      <w:numFmt w:val="decimal"/>
      <w:lvlText w:val="%9."/>
      <w:lvlJc w:val="left"/>
      <w:pPr>
        <w:tabs>
          <w:tab w:val="num" w:pos="5760"/>
        </w:tabs>
        <w:ind w:left="0" w:firstLine="5040"/>
      </w:pPr>
      <w:rPr>
        <w:rFonts w:ascii="Times New Roman" w:eastAsia="MS Mincho" w:hAnsi="Times New Roman" w:cs="Times New Roman" w:hint="default"/>
        <w:color w:val="000000" w:themeColor="text1"/>
        <w:sz w:val="22"/>
      </w:rPr>
    </w:lvl>
  </w:abstractNum>
  <w:abstractNum w:abstractNumId="17" w15:restartNumberingAfterBreak="0">
    <w:nsid w:val="2A0B256E"/>
    <w:multiLevelType w:val="hybridMultilevel"/>
    <w:tmpl w:val="D11CA4D8"/>
    <w:lvl w:ilvl="0" w:tplc="67C20E08">
      <w:start w:val="1"/>
      <w:numFmt w:val="decimal"/>
      <w:pStyle w:val="wListNum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B0768D5"/>
    <w:multiLevelType w:val="multilevel"/>
    <w:tmpl w:val="5F362CAA"/>
    <w:lvl w:ilvl="0">
      <w:start w:val="1"/>
      <w:numFmt w:val="upperRoman"/>
      <w:pStyle w:val="Appendix1"/>
      <w:suff w:val="nothing"/>
      <w:lvlText w:val="Option %1"/>
      <w:lvlJc w:val="left"/>
      <w:pPr>
        <w:ind w:left="0" w:firstLine="0"/>
      </w:pPr>
      <w:rPr>
        <w:rFonts w:ascii="Times New Roman Bold" w:hAnsi="Times New Roman Bold" w:cs="Times New Roman" w:hint="default"/>
        <w:b/>
        <w:i w:val="0"/>
        <w:color w:val="000000" w:themeColor="text1"/>
        <w:sz w:val="22"/>
      </w:rPr>
    </w:lvl>
    <w:lvl w:ilvl="1">
      <w:start w:val="1"/>
      <w:numFmt w:val="decimal"/>
      <w:pStyle w:val="Appendix2"/>
      <w:suff w:val="nothing"/>
      <w:lvlText w:val="§ %2"/>
      <w:lvlJc w:val="left"/>
      <w:pPr>
        <w:ind w:left="0" w:firstLine="0"/>
      </w:pPr>
      <w:rPr>
        <w:rFonts w:ascii="Times New Roman Bold" w:hAnsi="Times New Roman Bold" w:cs="Times New Roman" w:hint="default"/>
        <w:b/>
        <w:i w:val="0"/>
        <w:color w:val="000000" w:themeColor="text1"/>
        <w:sz w:val="22"/>
      </w:rPr>
    </w:lvl>
    <w:lvl w:ilvl="2">
      <w:start w:val="1"/>
      <w:numFmt w:val="decimal"/>
      <w:pStyle w:val="Appendix3"/>
      <w:lvlText w:val="(%3)"/>
      <w:lvlJc w:val="left"/>
      <w:pPr>
        <w:tabs>
          <w:tab w:val="num" w:pos="720"/>
        </w:tabs>
        <w:ind w:left="0" w:firstLine="0"/>
      </w:pPr>
      <w:rPr>
        <w:rFonts w:hint="default"/>
        <w:b w:val="0"/>
        <w:i w:val="0"/>
      </w:rPr>
    </w:lvl>
    <w:lvl w:ilvl="3">
      <w:start w:val="1"/>
      <w:numFmt w:val="lowerLetter"/>
      <w:pStyle w:val="Appendix4"/>
      <w:lvlText w:val="(%4)"/>
      <w:lvlJc w:val="left"/>
      <w:pPr>
        <w:tabs>
          <w:tab w:val="num" w:pos="720"/>
        </w:tabs>
        <w:ind w:left="720" w:hanging="720"/>
      </w:pPr>
      <w:rPr>
        <w:rFonts w:hint="default"/>
        <w:b w:val="0"/>
        <w:i w:val="0"/>
      </w:rPr>
    </w:lvl>
    <w:lvl w:ilvl="4">
      <w:start w:val="1"/>
      <w:numFmt w:val="lowerRoman"/>
      <w:pStyle w:val="Appendix5"/>
      <w:lvlText w:val="(%5)"/>
      <w:lvlJc w:val="left"/>
      <w:pPr>
        <w:tabs>
          <w:tab w:val="num" w:pos="720"/>
        </w:tabs>
        <w:ind w:left="720" w:hanging="720"/>
      </w:pPr>
      <w:rPr>
        <w:rFonts w:hint="default"/>
        <w:b w:val="0"/>
        <w:i w:val="0"/>
      </w:rPr>
    </w:lvl>
    <w:lvl w:ilvl="5">
      <w:start w:val="1"/>
      <w:numFmt w:val="decimal"/>
      <w:pStyle w:val="Appendix6"/>
      <w:lvlText w:val="(%6)"/>
      <w:lvlJc w:val="left"/>
      <w:pPr>
        <w:tabs>
          <w:tab w:val="num" w:pos="3600"/>
        </w:tabs>
        <w:ind w:left="3600" w:hanging="720"/>
      </w:pPr>
      <w:rPr>
        <w:rFonts w:hint="default"/>
      </w:rPr>
    </w:lvl>
    <w:lvl w:ilvl="6">
      <w:start w:val="1"/>
      <w:numFmt w:val="upperRoman"/>
      <w:pStyle w:val="Appendix7"/>
      <w:lvlText w:val="(%7)"/>
      <w:lvlJc w:val="left"/>
      <w:pPr>
        <w:tabs>
          <w:tab w:val="num" w:pos="4320"/>
        </w:tabs>
        <w:ind w:left="4320" w:hanging="720"/>
      </w:pPr>
      <w:rPr>
        <w:rFonts w:hint="default"/>
      </w:rPr>
    </w:lvl>
    <w:lvl w:ilvl="7">
      <w:start w:val="1"/>
      <w:numFmt w:val="none"/>
      <w:pStyle w:val="Appendix8"/>
      <w:suff w:val="nothing"/>
      <w:lvlText w:val=""/>
      <w:lvlJc w:val="left"/>
      <w:pPr>
        <w:ind w:left="0" w:firstLine="0"/>
      </w:pPr>
      <w:rPr>
        <w:rFonts w:hint="default"/>
      </w:rPr>
    </w:lvl>
    <w:lvl w:ilvl="8">
      <w:start w:val="1"/>
      <w:numFmt w:val="none"/>
      <w:pStyle w:val="Appendix9"/>
      <w:suff w:val="nothing"/>
      <w:lvlText w:val=""/>
      <w:lvlJc w:val="left"/>
      <w:pPr>
        <w:ind w:left="0" w:firstLine="0"/>
      </w:pPr>
      <w:rPr>
        <w:rFonts w:hint="default"/>
      </w:rPr>
    </w:lvl>
  </w:abstractNum>
  <w:abstractNum w:abstractNumId="19" w15:restartNumberingAfterBreak="0">
    <w:nsid w:val="2DAF59AB"/>
    <w:multiLevelType w:val="multilevel"/>
    <w:tmpl w:val="8F147632"/>
    <w:lvl w:ilvl="0">
      <w:start w:val="1"/>
      <w:numFmt w:val="decimal"/>
      <w:lvlText w:val="%1."/>
      <w:lvlJc w:val="left"/>
      <w:pPr>
        <w:tabs>
          <w:tab w:val="num" w:pos="720"/>
        </w:tabs>
        <w:ind w:left="0" w:firstLine="0"/>
      </w:pPr>
      <w:rPr>
        <w:rFonts w:ascii="Times New Roman Bold" w:hAnsi="Times New Roman Bold" w:cs="Times New Roman" w:hint="default"/>
        <w:b/>
        <w:i w:val="0"/>
        <w:color w:val="000000" w:themeColor="text1"/>
        <w:sz w:val="22"/>
      </w:rPr>
    </w:lvl>
    <w:lvl w:ilvl="1">
      <w:start w:val="1"/>
      <w:numFmt w:val="decimal"/>
      <w:isLgl/>
      <w:lvlText w:val="%1.%2."/>
      <w:lvlJc w:val="left"/>
      <w:pPr>
        <w:tabs>
          <w:tab w:val="num" w:pos="720"/>
        </w:tabs>
        <w:ind w:left="720" w:hanging="720"/>
      </w:pPr>
      <w:rPr>
        <w:rFonts w:ascii="Times New Roman Bold" w:hAnsi="Times New Roman Bold" w:cs="Times New Roman" w:hint="default"/>
        <w:b/>
        <w:i w:val="0"/>
        <w:color w:val="auto"/>
        <w:sz w:val="20"/>
      </w:rPr>
    </w:lvl>
    <w:lvl w:ilvl="2">
      <w:start w:val="1"/>
      <w:numFmt w:val="decimal"/>
      <w:lvlText w:val="%1.%2.%3."/>
      <w:lvlJc w:val="left"/>
      <w:pPr>
        <w:tabs>
          <w:tab w:val="num" w:pos="1004"/>
        </w:tabs>
        <w:ind w:left="1004" w:hanging="720"/>
      </w:pPr>
      <w:rPr>
        <w:rFonts w:ascii="Times New Roman" w:eastAsia="MS Mincho" w:hAnsi="Times New Roman" w:cs="Times New Roman" w:hint="default"/>
        <w:color w:val="000000" w:themeColor="text1"/>
        <w:sz w:val="20"/>
      </w:rPr>
    </w:lvl>
    <w:lvl w:ilvl="3">
      <w:start w:val="1"/>
      <w:numFmt w:val="decimal"/>
      <w:lvlText w:val="%1.%2.%3.%4."/>
      <w:lvlJc w:val="left"/>
      <w:pPr>
        <w:tabs>
          <w:tab w:val="num" w:pos="1146"/>
        </w:tabs>
        <w:ind w:left="1146" w:hanging="720"/>
      </w:pPr>
      <w:rPr>
        <w:rFonts w:ascii="Times New Roman" w:eastAsia="MS Mincho" w:hAnsi="Times New Roman" w:cs="Times New Roman" w:hint="default"/>
        <w:b/>
        <w:color w:val="000000" w:themeColor="text1"/>
        <w:sz w:val="20"/>
      </w:rPr>
    </w:lvl>
    <w:lvl w:ilvl="4">
      <w:start w:val="1"/>
      <w:numFmt w:val="lowerLetter"/>
      <w:lvlText w:val="(%5)"/>
      <w:lvlJc w:val="left"/>
      <w:pPr>
        <w:tabs>
          <w:tab w:val="num" w:pos="1440"/>
        </w:tabs>
        <w:ind w:left="1440" w:hanging="720"/>
      </w:pPr>
      <w:rPr>
        <w:rFonts w:ascii="Times New Roman" w:eastAsia="MS Mincho" w:hAnsi="Times New Roman" w:cs="Times New Roman" w:hint="default"/>
        <w:color w:val="000000" w:themeColor="text1"/>
        <w:sz w:val="22"/>
      </w:rPr>
    </w:lvl>
    <w:lvl w:ilvl="5">
      <w:start w:val="1"/>
      <w:numFmt w:val="lowerRoman"/>
      <w:lvlText w:val="(%6)"/>
      <w:lvlJc w:val="left"/>
      <w:pPr>
        <w:tabs>
          <w:tab w:val="num" w:pos="1440"/>
        </w:tabs>
        <w:ind w:left="1440" w:hanging="720"/>
      </w:pPr>
      <w:rPr>
        <w:rFonts w:ascii="Times New Roman" w:eastAsia="MS Mincho" w:hAnsi="Times New Roman" w:cs="Times New Roman" w:hint="default"/>
        <w:color w:val="000000" w:themeColor="text1"/>
        <w:sz w:val="22"/>
      </w:rPr>
    </w:lvl>
    <w:lvl w:ilvl="6">
      <w:start w:val="1"/>
      <w:numFmt w:val="upperLetter"/>
      <w:lvlText w:val="(%7)"/>
      <w:lvlJc w:val="left"/>
      <w:pPr>
        <w:tabs>
          <w:tab w:val="num" w:pos="2880"/>
        </w:tabs>
        <w:ind w:left="1440" w:firstLine="720"/>
      </w:pPr>
      <w:rPr>
        <w:rFonts w:ascii="Times New Roman" w:eastAsia="MS Mincho" w:hAnsi="Times New Roman" w:cs="Times New Roman" w:hint="default"/>
        <w:color w:val="000000" w:themeColor="text1"/>
        <w:sz w:val="22"/>
      </w:rPr>
    </w:lvl>
    <w:lvl w:ilvl="7">
      <w:start w:val="1"/>
      <w:numFmt w:val="upperRoman"/>
      <w:lvlText w:val="(%8)"/>
      <w:lvlJc w:val="left"/>
      <w:pPr>
        <w:tabs>
          <w:tab w:val="num" w:pos="3600"/>
        </w:tabs>
        <w:ind w:left="2160" w:firstLine="720"/>
      </w:pPr>
      <w:rPr>
        <w:rFonts w:ascii="Times New Roman" w:eastAsia="MS Mincho" w:hAnsi="Times New Roman" w:cs="Times New Roman" w:hint="default"/>
        <w:color w:val="000000" w:themeColor="text1"/>
        <w:sz w:val="22"/>
      </w:rPr>
    </w:lvl>
    <w:lvl w:ilvl="8">
      <w:start w:val="1"/>
      <w:numFmt w:val="decimal"/>
      <w:lvlText w:val="%9."/>
      <w:lvlJc w:val="left"/>
      <w:pPr>
        <w:tabs>
          <w:tab w:val="num" w:pos="5760"/>
        </w:tabs>
        <w:ind w:left="0" w:firstLine="5040"/>
      </w:pPr>
      <w:rPr>
        <w:rFonts w:ascii="Times New Roman" w:eastAsia="MS Mincho" w:hAnsi="Times New Roman" w:cs="Times New Roman" w:hint="default"/>
        <w:color w:val="000000" w:themeColor="text1"/>
        <w:sz w:val="22"/>
      </w:rPr>
    </w:lvl>
  </w:abstractNum>
  <w:abstractNum w:abstractNumId="20" w15:restartNumberingAfterBreak="0">
    <w:nsid w:val="30020835"/>
    <w:multiLevelType w:val="hybridMultilevel"/>
    <w:tmpl w:val="E42E619E"/>
    <w:lvl w:ilvl="0" w:tplc="54166BD4">
      <w:start w:val="1"/>
      <w:numFmt w:val="decimal"/>
      <w:pStyle w:val="wListNum"/>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46B2968"/>
    <w:multiLevelType w:val="multilevel"/>
    <w:tmpl w:val="1DCEBD7E"/>
    <w:lvl w:ilvl="0">
      <w:start w:val="1"/>
      <w:numFmt w:val="upperLetter"/>
      <w:pStyle w:val="wList1"/>
      <w:lvlText w:val="(%1)"/>
      <w:lvlJc w:val="left"/>
      <w:pPr>
        <w:tabs>
          <w:tab w:val="num" w:pos="720"/>
        </w:tabs>
        <w:ind w:left="720" w:hanging="720"/>
      </w:pPr>
      <w:rPr>
        <w:rFonts w:hint="default"/>
      </w:rPr>
    </w:lvl>
    <w:lvl w:ilvl="1">
      <w:start w:val="1"/>
      <w:numFmt w:val="lowerLetter"/>
      <w:pStyle w:val="wList2"/>
      <w:lvlText w:val="(%2)"/>
      <w:lvlJc w:val="left"/>
      <w:pPr>
        <w:tabs>
          <w:tab w:val="num" w:pos="1440"/>
        </w:tabs>
        <w:ind w:left="1440" w:hanging="720"/>
      </w:pPr>
      <w:rPr>
        <w:rFonts w:hint="default"/>
      </w:rPr>
    </w:lvl>
    <w:lvl w:ilvl="2">
      <w:start w:val="1"/>
      <w:numFmt w:val="lowerRoman"/>
      <w:pStyle w:val="wList3"/>
      <w:lvlText w:val="(%3)"/>
      <w:lvlJc w:val="left"/>
      <w:pPr>
        <w:tabs>
          <w:tab w:val="num" w:pos="2160"/>
        </w:tabs>
        <w:ind w:left="2160" w:hanging="720"/>
      </w:pPr>
      <w:rPr>
        <w:rFonts w:hint="default"/>
      </w:rPr>
    </w:lvl>
    <w:lvl w:ilvl="3">
      <w:start w:val="1"/>
      <w:numFmt w:val="upperLetter"/>
      <w:pStyle w:val="wList4"/>
      <w:lvlText w:val="(%4)"/>
      <w:lvlJc w:val="left"/>
      <w:pPr>
        <w:tabs>
          <w:tab w:val="num" w:pos="2880"/>
        </w:tabs>
        <w:ind w:left="2880" w:hanging="720"/>
      </w:pPr>
      <w:rPr>
        <w:rFonts w:hint="default"/>
      </w:rPr>
    </w:lvl>
    <w:lvl w:ilvl="4">
      <w:start w:val="1"/>
      <w:numFmt w:val="decimal"/>
      <w:pStyle w:val="wList5"/>
      <w:lvlText w:val="(%5)"/>
      <w:lvlJc w:val="left"/>
      <w:pPr>
        <w:tabs>
          <w:tab w:val="num" w:pos="3600"/>
        </w:tabs>
        <w:ind w:left="3600" w:hanging="720"/>
      </w:pPr>
      <w:rPr>
        <w:rFonts w:hint="default"/>
      </w:rPr>
    </w:lvl>
    <w:lvl w:ilvl="5">
      <w:start w:val="1"/>
      <w:numFmt w:val="bullet"/>
      <w:pStyle w:val="wList6"/>
      <w:lvlText w:val="–"/>
      <w:lvlJc w:val="left"/>
      <w:pPr>
        <w:tabs>
          <w:tab w:val="num" w:pos="2160"/>
        </w:tabs>
        <w:ind w:left="2160" w:hanging="720"/>
      </w:pPr>
      <w:rPr>
        <w:rFonts w:ascii="Times New Roman" w:hAnsi="Times New Roman" w:cs="Times New Roman" w:hint="default"/>
      </w:rPr>
    </w:lvl>
    <w:lvl w:ilvl="6">
      <w:start w:val="1"/>
      <w:numFmt w:val="bullet"/>
      <w:pStyle w:val="wList7"/>
      <w:lvlText w:val="–"/>
      <w:lvlJc w:val="left"/>
      <w:pPr>
        <w:tabs>
          <w:tab w:val="num" w:pos="2880"/>
        </w:tabs>
        <w:ind w:left="2880" w:hanging="720"/>
      </w:pPr>
      <w:rPr>
        <w:rFonts w:ascii="Times New Roman" w:hAnsi="Times New Roman" w:cs="Times New Roman" w:hint="default"/>
      </w:rPr>
    </w:lvl>
    <w:lvl w:ilvl="7">
      <w:start w:val="1"/>
      <w:numFmt w:val="bullet"/>
      <w:lvlText w:val=""/>
      <w:lvlJc w:val="left"/>
      <w:pPr>
        <w:ind w:left="2880" w:hanging="360"/>
      </w:pPr>
      <w:rPr>
        <w:rFonts w:ascii="Symbol" w:hAnsi="Symbol" w:cs="Times New Roman" w:hint="default"/>
      </w:rPr>
    </w:lvl>
    <w:lvl w:ilvl="8">
      <w:start w:val="1"/>
      <w:numFmt w:val="bullet"/>
      <w:lvlText w:val=""/>
      <w:lvlJc w:val="left"/>
      <w:pPr>
        <w:ind w:left="3240" w:hanging="360"/>
      </w:pPr>
      <w:rPr>
        <w:rFonts w:ascii="Symbol" w:hAnsi="Symbol" w:cs="Times New Roman" w:hint="default"/>
      </w:rPr>
    </w:lvl>
  </w:abstractNum>
  <w:abstractNum w:abstractNumId="22" w15:restartNumberingAfterBreak="0">
    <w:nsid w:val="368B36AD"/>
    <w:multiLevelType w:val="hybridMultilevel"/>
    <w:tmpl w:val="02C6C5D8"/>
    <w:lvl w:ilvl="0" w:tplc="7DACCD74">
      <w:start w:val="1"/>
      <w:numFmt w:val="lowerLetter"/>
      <w:pStyle w:val="wListLet1"/>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95E1399"/>
    <w:multiLevelType w:val="multilevel"/>
    <w:tmpl w:val="C27EDB80"/>
    <w:name w:val="Definition"/>
    <w:lvl w:ilvl="0">
      <w:start w:val="1"/>
      <w:numFmt w:val="none"/>
      <w:suff w:val="nothing"/>
      <w:lvlText w:val=""/>
      <w:lvlJc w:val="left"/>
      <w:pPr>
        <w:ind w:left="720" w:firstLine="0"/>
      </w:pPr>
      <w:rPr>
        <w:rFonts w:hint="default"/>
      </w:rPr>
    </w:lvl>
    <w:lvl w:ilvl="1">
      <w:start w:val="1"/>
      <w:numFmt w:val="lowerLetter"/>
      <w:lvlText w:val="%1(%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3FE03939"/>
    <w:multiLevelType w:val="multilevel"/>
    <w:tmpl w:val="8F147632"/>
    <w:lvl w:ilvl="0">
      <w:start w:val="1"/>
      <w:numFmt w:val="decimal"/>
      <w:lvlText w:val="%1."/>
      <w:lvlJc w:val="left"/>
      <w:pPr>
        <w:tabs>
          <w:tab w:val="num" w:pos="720"/>
        </w:tabs>
        <w:ind w:left="0" w:firstLine="0"/>
      </w:pPr>
      <w:rPr>
        <w:rFonts w:ascii="Times New Roman Bold" w:hAnsi="Times New Roman Bold" w:cs="Times New Roman" w:hint="default"/>
        <w:b/>
        <w:i w:val="0"/>
        <w:color w:val="000000" w:themeColor="text1"/>
        <w:sz w:val="22"/>
      </w:rPr>
    </w:lvl>
    <w:lvl w:ilvl="1">
      <w:start w:val="1"/>
      <w:numFmt w:val="decimal"/>
      <w:isLgl/>
      <w:lvlText w:val="%1.%2."/>
      <w:lvlJc w:val="left"/>
      <w:pPr>
        <w:tabs>
          <w:tab w:val="num" w:pos="720"/>
        </w:tabs>
        <w:ind w:left="720" w:hanging="720"/>
      </w:pPr>
      <w:rPr>
        <w:rFonts w:ascii="Times New Roman Bold" w:hAnsi="Times New Roman Bold" w:cs="Times New Roman" w:hint="default"/>
        <w:b/>
        <w:i w:val="0"/>
        <w:color w:val="auto"/>
        <w:sz w:val="20"/>
      </w:rPr>
    </w:lvl>
    <w:lvl w:ilvl="2">
      <w:start w:val="1"/>
      <w:numFmt w:val="decimal"/>
      <w:lvlText w:val="%1.%2.%3."/>
      <w:lvlJc w:val="left"/>
      <w:pPr>
        <w:tabs>
          <w:tab w:val="num" w:pos="1004"/>
        </w:tabs>
        <w:ind w:left="1004" w:hanging="720"/>
      </w:pPr>
      <w:rPr>
        <w:rFonts w:ascii="Times New Roman" w:eastAsia="MS Mincho" w:hAnsi="Times New Roman" w:cs="Times New Roman" w:hint="default"/>
        <w:color w:val="000000" w:themeColor="text1"/>
        <w:sz w:val="20"/>
      </w:rPr>
    </w:lvl>
    <w:lvl w:ilvl="3">
      <w:start w:val="1"/>
      <w:numFmt w:val="decimal"/>
      <w:lvlText w:val="%1.%2.%3.%4."/>
      <w:lvlJc w:val="left"/>
      <w:pPr>
        <w:tabs>
          <w:tab w:val="num" w:pos="1146"/>
        </w:tabs>
        <w:ind w:left="1146" w:hanging="720"/>
      </w:pPr>
      <w:rPr>
        <w:rFonts w:ascii="Times New Roman" w:eastAsia="MS Mincho" w:hAnsi="Times New Roman" w:cs="Times New Roman" w:hint="default"/>
        <w:b/>
        <w:color w:val="000000" w:themeColor="text1"/>
        <w:sz w:val="20"/>
      </w:rPr>
    </w:lvl>
    <w:lvl w:ilvl="4">
      <w:start w:val="1"/>
      <w:numFmt w:val="lowerLetter"/>
      <w:lvlText w:val="(%5)"/>
      <w:lvlJc w:val="left"/>
      <w:pPr>
        <w:tabs>
          <w:tab w:val="num" w:pos="1440"/>
        </w:tabs>
        <w:ind w:left="1440" w:hanging="720"/>
      </w:pPr>
      <w:rPr>
        <w:rFonts w:ascii="Times New Roman" w:eastAsia="MS Mincho" w:hAnsi="Times New Roman" w:cs="Times New Roman" w:hint="default"/>
        <w:color w:val="000000" w:themeColor="text1"/>
        <w:sz w:val="22"/>
      </w:rPr>
    </w:lvl>
    <w:lvl w:ilvl="5">
      <w:start w:val="1"/>
      <w:numFmt w:val="lowerRoman"/>
      <w:lvlText w:val="(%6)"/>
      <w:lvlJc w:val="left"/>
      <w:pPr>
        <w:tabs>
          <w:tab w:val="num" w:pos="1440"/>
        </w:tabs>
        <w:ind w:left="1440" w:hanging="720"/>
      </w:pPr>
      <w:rPr>
        <w:rFonts w:ascii="Times New Roman" w:eastAsia="MS Mincho" w:hAnsi="Times New Roman" w:cs="Times New Roman" w:hint="default"/>
        <w:color w:val="000000" w:themeColor="text1"/>
        <w:sz w:val="22"/>
      </w:rPr>
    </w:lvl>
    <w:lvl w:ilvl="6">
      <w:start w:val="1"/>
      <w:numFmt w:val="upperLetter"/>
      <w:lvlText w:val="(%7)"/>
      <w:lvlJc w:val="left"/>
      <w:pPr>
        <w:tabs>
          <w:tab w:val="num" w:pos="2880"/>
        </w:tabs>
        <w:ind w:left="1440" w:firstLine="720"/>
      </w:pPr>
      <w:rPr>
        <w:rFonts w:ascii="Times New Roman" w:eastAsia="MS Mincho" w:hAnsi="Times New Roman" w:cs="Times New Roman" w:hint="default"/>
        <w:color w:val="000000" w:themeColor="text1"/>
        <w:sz w:val="22"/>
      </w:rPr>
    </w:lvl>
    <w:lvl w:ilvl="7">
      <w:start w:val="1"/>
      <w:numFmt w:val="upperRoman"/>
      <w:lvlText w:val="(%8)"/>
      <w:lvlJc w:val="left"/>
      <w:pPr>
        <w:tabs>
          <w:tab w:val="num" w:pos="3600"/>
        </w:tabs>
        <w:ind w:left="2160" w:firstLine="720"/>
      </w:pPr>
      <w:rPr>
        <w:rFonts w:ascii="Times New Roman" w:eastAsia="MS Mincho" w:hAnsi="Times New Roman" w:cs="Times New Roman" w:hint="default"/>
        <w:color w:val="000000" w:themeColor="text1"/>
        <w:sz w:val="22"/>
      </w:rPr>
    </w:lvl>
    <w:lvl w:ilvl="8">
      <w:start w:val="1"/>
      <w:numFmt w:val="decimal"/>
      <w:lvlText w:val="%9."/>
      <w:lvlJc w:val="left"/>
      <w:pPr>
        <w:tabs>
          <w:tab w:val="num" w:pos="5760"/>
        </w:tabs>
        <w:ind w:left="0" w:firstLine="5040"/>
      </w:pPr>
      <w:rPr>
        <w:rFonts w:ascii="Times New Roman" w:eastAsia="MS Mincho" w:hAnsi="Times New Roman" w:cs="Times New Roman" w:hint="default"/>
        <w:color w:val="000000" w:themeColor="text1"/>
        <w:sz w:val="22"/>
      </w:rPr>
    </w:lvl>
  </w:abstractNum>
  <w:abstractNum w:abstractNumId="25" w15:restartNumberingAfterBreak="0">
    <w:nsid w:val="41FA612F"/>
    <w:multiLevelType w:val="hybridMultilevel"/>
    <w:tmpl w:val="4948E2E2"/>
    <w:lvl w:ilvl="0" w:tplc="E318C420">
      <w:start w:val="1"/>
      <w:numFmt w:val="bullet"/>
      <w:pStyle w:val="wBullet2"/>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48A14C4"/>
    <w:multiLevelType w:val="multilevel"/>
    <w:tmpl w:val="636C7EEA"/>
    <w:lvl w:ilvl="0">
      <w:start w:val="1"/>
      <w:numFmt w:val="decimal"/>
      <w:lvlText w:val="%1."/>
      <w:lvlJc w:val="left"/>
      <w:pPr>
        <w:tabs>
          <w:tab w:val="num" w:pos="720"/>
        </w:tabs>
        <w:ind w:left="0" w:firstLine="0"/>
      </w:pPr>
      <w:rPr>
        <w:rFonts w:ascii="Times New Roman Bold" w:hAnsi="Times New Roman Bold" w:cs="Times New Roman" w:hint="default"/>
        <w:b/>
        <w:i w:val="0"/>
        <w:color w:val="000000" w:themeColor="text1"/>
        <w:sz w:val="22"/>
      </w:rPr>
    </w:lvl>
    <w:lvl w:ilvl="1">
      <w:start w:val="1"/>
      <w:numFmt w:val="decimal"/>
      <w:isLgl/>
      <w:lvlText w:val="%1.%2."/>
      <w:lvlJc w:val="left"/>
      <w:pPr>
        <w:tabs>
          <w:tab w:val="num" w:pos="720"/>
        </w:tabs>
        <w:ind w:left="720" w:hanging="720"/>
      </w:pPr>
      <w:rPr>
        <w:rFonts w:ascii="Times New Roman Bold" w:hAnsi="Times New Roman Bold" w:cs="Times New Roman" w:hint="default"/>
        <w:b/>
        <w:i w:val="0"/>
        <w:color w:val="auto"/>
        <w:sz w:val="20"/>
      </w:rPr>
    </w:lvl>
    <w:lvl w:ilvl="2">
      <w:start w:val="1"/>
      <w:numFmt w:val="decimal"/>
      <w:lvlText w:val="%1.%2.%3."/>
      <w:lvlJc w:val="left"/>
      <w:pPr>
        <w:tabs>
          <w:tab w:val="num" w:pos="1004"/>
        </w:tabs>
        <w:ind w:left="1004" w:hanging="720"/>
      </w:pPr>
      <w:rPr>
        <w:rFonts w:ascii="Times New Roman" w:eastAsia="MS Mincho" w:hAnsi="Times New Roman" w:cs="Times New Roman" w:hint="default"/>
        <w:b/>
        <w:color w:val="000000" w:themeColor="text1"/>
        <w:sz w:val="20"/>
      </w:rPr>
    </w:lvl>
    <w:lvl w:ilvl="3">
      <w:start w:val="1"/>
      <w:numFmt w:val="decimal"/>
      <w:lvlText w:val="%1.%2.%3.%4."/>
      <w:lvlJc w:val="left"/>
      <w:pPr>
        <w:tabs>
          <w:tab w:val="num" w:pos="1146"/>
        </w:tabs>
        <w:ind w:left="1146" w:hanging="720"/>
      </w:pPr>
      <w:rPr>
        <w:rFonts w:ascii="Times New Roman" w:eastAsia="MS Mincho" w:hAnsi="Times New Roman" w:cs="Times New Roman" w:hint="default"/>
        <w:b/>
        <w:color w:val="000000" w:themeColor="text1"/>
        <w:sz w:val="20"/>
      </w:rPr>
    </w:lvl>
    <w:lvl w:ilvl="4">
      <w:start w:val="1"/>
      <w:numFmt w:val="lowerLetter"/>
      <w:lvlText w:val="(%5)"/>
      <w:lvlJc w:val="left"/>
      <w:pPr>
        <w:tabs>
          <w:tab w:val="num" w:pos="1440"/>
        </w:tabs>
        <w:ind w:left="1440" w:hanging="720"/>
      </w:pPr>
      <w:rPr>
        <w:rFonts w:ascii="Times New Roman" w:eastAsia="MS Mincho" w:hAnsi="Times New Roman" w:cs="Times New Roman" w:hint="default"/>
        <w:color w:val="000000" w:themeColor="text1"/>
        <w:sz w:val="22"/>
      </w:rPr>
    </w:lvl>
    <w:lvl w:ilvl="5">
      <w:start w:val="1"/>
      <w:numFmt w:val="lowerRoman"/>
      <w:lvlText w:val="(%6)"/>
      <w:lvlJc w:val="left"/>
      <w:pPr>
        <w:tabs>
          <w:tab w:val="num" w:pos="1440"/>
        </w:tabs>
        <w:ind w:left="1440" w:hanging="720"/>
      </w:pPr>
      <w:rPr>
        <w:rFonts w:ascii="Times New Roman" w:eastAsia="MS Mincho" w:hAnsi="Times New Roman" w:cs="Times New Roman" w:hint="default"/>
        <w:color w:val="000000" w:themeColor="text1"/>
        <w:sz w:val="22"/>
      </w:rPr>
    </w:lvl>
    <w:lvl w:ilvl="6">
      <w:start w:val="1"/>
      <w:numFmt w:val="upperLetter"/>
      <w:lvlText w:val="(%7)"/>
      <w:lvlJc w:val="left"/>
      <w:pPr>
        <w:tabs>
          <w:tab w:val="num" w:pos="2880"/>
        </w:tabs>
        <w:ind w:left="1440" w:firstLine="720"/>
      </w:pPr>
      <w:rPr>
        <w:rFonts w:ascii="Times New Roman" w:eastAsia="MS Mincho" w:hAnsi="Times New Roman" w:cs="Times New Roman" w:hint="default"/>
        <w:color w:val="000000" w:themeColor="text1"/>
        <w:sz w:val="22"/>
      </w:rPr>
    </w:lvl>
    <w:lvl w:ilvl="7">
      <w:start w:val="1"/>
      <w:numFmt w:val="upperRoman"/>
      <w:lvlText w:val="(%8)"/>
      <w:lvlJc w:val="left"/>
      <w:pPr>
        <w:tabs>
          <w:tab w:val="num" w:pos="3600"/>
        </w:tabs>
        <w:ind w:left="2160" w:firstLine="720"/>
      </w:pPr>
      <w:rPr>
        <w:rFonts w:ascii="Times New Roman" w:eastAsia="MS Mincho" w:hAnsi="Times New Roman" w:cs="Times New Roman" w:hint="default"/>
        <w:color w:val="000000" w:themeColor="text1"/>
        <w:sz w:val="22"/>
      </w:rPr>
    </w:lvl>
    <w:lvl w:ilvl="8">
      <w:start w:val="1"/>
      <w:numFmt w:val="decimal"/>
      <w:lvlText w:val="%9."/>
      <w:lvlJc w:val="left"/>
      <w:pPr>
        <w:tabs>
          <w:tab w:val="num" w:pos="5760"/>
        </w:tabs>
        <w:ind w:left="0" w:firstLine="5040"/>
      </w:pPr>
      <w:rPr>
        <w:rFonts w:ascii="Times New Roman" w:eastAsia="MS Mincho" w:hAnsi="Times New Roman" w:cs="Times New Roman" w:hint="default"/>
        <w:color w:val="000000" w:themeColor="text1"/>
        <w:sz w:val="22"/>
      </w:rPr>
    </w:lvl>
  </w:abstractNum>
  <w:abstractNum w:abstractNumId="27" w15:restartNumberingAfterBreak="0">
    <w:nsid w:val="478754FA"/>
    <w:multiLevelType w:val="hybridMultilevel"/>
    <w:tmpl w:val="05F6FF98"/>
    <w:name w:val="Parties"/>
    <w:lvl w:ilvl="0" w:tplc="671278A0">
      <w:start w:val="1"/>
      <w:numFmt w:val="upperLetter"/>
      <w:lvlText w:val="(%1)"/>
      <w:lvlJc w:val="left"/>
      <w:pPr>
        <w:tabs>
          <w:tab w:val="num" w:pos="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9603786"/>
    <w:multiLevelType w:val="multilevel"/>
    <w:tmpl w:val="9B2ECB0C"/>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F036F6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1CF41C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63E5BB2"/>
    <w:multiLevelType w:val="hybridMultilevel"/>
    <w:tmpl w:val="F53A3E52"/>
    <w:lvl w:ilvl="0" w:tplc="C21A1A12">
      <w:start w:val="1"/>
      <w:numFmt w:val="bullet"/>
      <w:pStyle w:val="w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8126D73"/>
    <w:multiLevelType w:val="hybridMultilevel"/>
    <w:tmpl w:val="666E0518"/>
    <w:lvl w:ilvl="0" w:tplc="AF446BCA">
      <w:start w:val="1"/>
      <w:numFmt w:val="bullet"/>
      <w:pStyle w:val="wBullet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83C4EB0"/>
    <w:multiLevelType w:val="multilevel"/>
    <w:tmpl w:val="639A7630"/>
    <w:lvl w:ilvl="0">
      <w:start w:val="1"/>
      <w:numFmt w:val="decimal"/>
      <w:lvlText w:val="%1."/>
      <w:lvlJc w:val="left"/>
      <w:pPr>
        <w:tabs>
          <w:tab w:val="num" w:pos="720"/>
        </w:tabs>
        <w:ind w:left="0" w:firstLine="0"/>
      </w:pPr>
      <w:rPr>
        <w:rFonts w:ascii="Times New Roman Bold" w:hAnsi="Times New Roman Bold" w:cs="Times New Roman" w:hint="default"/>
        <w:b/>
        <w:i w:val="0"/>
        <w:color w:val="000000" w:themeColor="text1"/>
        <w:sz w:val="22"/>
      </w:rPr>
    </w:lvl>
    <w:lvl w:ilvl="1">
      <w:start w:val="1"/>
      <w:numFmt w:val="decimal"/>
      <w:isLgl/>
      <w:lvlText w:val="%1.%2."/>
      <w:lvlJc w:val="left"/>
      <w:pPr>
        <w:tabs>
          <w:tab w:val="num" w:pos="720"/>
        </w:tabs>
        <w:ind w:left="720" w:hanging="720"/>
      </w:pPr>
      <w:rPr>
        <w:rFonts w:ascii="Times New Roman Bold" w:hAnsi="Times New Roman Bold" w:cs="Times New Roman" w:hint="default"/>
        <w:b/>
        <w:i w:val="0"/>
        <w:color w:val="auto"/>
        <w:sz w:val="20"/>
      </w:rPr>
    </w:lvl>
    <w:lvl w:ilvl="2">
      <w:start w:val="1"/>
      <w:numFmt w:val="decimal"/>
      <w:lvlText w:val="%1.%2.%3."/>
      <w:lvlJc w:val="left"/>
      <w:pPr>
        <w:tabs>
          <w:tab w:val="num" w:pos="1004"/>
        </w:tabs>
        <w:ind w:left="1004" w:hanging="720"/>
      </w:pPr>
      <w:rPr>
        <w:rFonts w:ascii="Times New Roman" w:eastAsia="MS Mincho" w:hAnsi="Times New Roman" w:cs="Times New Roman" w:hint="default"/>
        <w:b/>
        <w:color w:val="000000" w:themeColor="text1"/>
        <w:sz w:val="20"/>
      </w:rPr>
    </w:lvl>
    <w:lvl w:ilvl="3">
      <w:start w:val="1"/>
      <w:numFmt w:val="decimal"/>
      <w:lvlText w:val="%1.%2.%3.%4."/>
      <w:lvlJc w:val="left"/>
      <w:pPr>
        <w:tabs>
          <w:tab w:val="num" w:pos="1146"/>
        </w:tabs>
        <w:ind w:left="1146" w:hanging="720"/>
      </w:pPr>
      <w:rPr>
        <w:rFonts w:ascii="Times New Roman" w:eastAsia="MS Mincho" w:hAnsi="Times New Roman" w:cs="Times New Roman" w:hint="default"/>
        <w:b/>
        <w:color w:val="000000" w:themeColor="text1"/>
        <w:sz w:val="20"/>
      </w:rPr>
    </w:lvl>
    <w:lvl w:ilvl="4">
      <w:start w:val="1"/>
      <w:numFmt w:val="lowerLetter"/>
      <w:lvlText w:val="(%5)"/>
      <w:lvlJc w:val="left"/>
      <w:pPr>
        <w:tabs>
          <w:tab w:val="num" w:pos="1440"/>
        </w:tabs>
        <w:ind w:left="1440" w:hanging="720"/>
      </w:pPr>
      <w:rPr>
        <w:rFonts w:ascii="Times New Roman" w:eastAsia="MS Mincho" w:hAnsi="Times New Roman" w:cs="Times New Roman" w:hint="default"/>
        <w:color w:val="000000" w:themeColor="text1"/>
        <w:sz w:val="22"/>
      </w:rPr>
    </w:lvl>
    <w:lvl w:ilvl="5">
      <w:start w:val="1"/>
      <w:numFmt w:val="lowerRoman"/>
      <w:lvlText w:val="(%6)"/>
      <w:lvlJc w:val="left"/>
      <w:pPr>
        <w:tabs>
          <w:tab w:val="num" w:pos="1440"/>
        </w:tabs>
        <w:ind w:left="1440" w:hanging="720"/>
      </w:pPr>
      <w:rPr>
        <w:rFonts w:ascii="Times New Roman" w:eastAsia="MS Mincho" w:hAnsi="Times New Roman" w:cs="Times New Roman" w:hint="default"/>
        <w:color w:val="000000" w:themeColor="text1"/>
        <w:sz w:val="22"/>
      </w:rPr>
    </w:lvl>
    <w:lvl w:ilvl="6">
      <w:start w:val="1"/>
      <w:numFmt w:val="upperLetter"/>
      <w:lvlText w:val="(%7)"/>
      <w:lvlJc w:val="left"/>
      <w:pPr>
        <w:tabs>
          <w:tab w:val="num" w:pos="2880"/>
        </w:tabs>
        <w:ind w:left="1440" w:firstLine="720"/>
      </w:pPr>
      <w:rPr>
        <w:rFonts w:ascii="Times New Roman" w:eastAsia="MS Mincho" w:hAnsi="Times New Roman" w:cs="Times New Roman" w:hint="default"/>
        <w:color w:val="000000" w:themeColor="text1"/>
        <w:sz w:val="22"/>
      </w:rPr>
    </w:lvl>
    <w:lvl w:ilvl="7">
      <w:start w:val="1"/>
      <w:numFmt w:val="upperRoman"/>
      <w:lvlText w:val="(%8)"/>
      <w:lvlJc w:val="left"/>
      <w:pPr>
        <w:tabs>
          <w:tab w:val="num" w:pos="3600"/>
        </w:tabs>
        <w:ind w:left="2160" w:firstLine="720"/>
      </w:pPr>
      <w:rPr>
        <w:rFonts w:ascii="Times New Roman" w:eastAsia="MS Mincho" w:hAnsi="Times New Roman" w:cs="Times New Roman" w:hint="default"/>
        <w:color w:val="000000" w:themeColor="text1"/>
        <w:sz w:val="22"/>
      </w:rPr>
    </w:lvl>
    <w:lvl w:ilvl="8">
      <w:start w:val="1"/>
      <w:numFmt w:val="decimal"/>
      <w:lvlText w:val="%9."/>
      <w:lvlJc w:val="left"/>
      <w:pPr>
        <w:tabs>
          <w:tab w:val="num" w:pos="5760"/>
        </w:tabs>
        <w:ind w:left="0" w:firstLine="5040"/>
      </w:pPr>
      <w:rPr>
        <w:rFonts w:ascii="Times New Roman" w:eastAsia="MS Mincho" w:hAnsi="Times New Roman" w:cs="Times New Roman" w:hint="default"/>
        <w:color w:val="000000" w:themeColor="text1"/>
        <w:sz w:val="22"/>
      </w:rPr>
    </w:lvl>
  </w:abstractNum>
  <w:abstractNum w:abstractNumId="34" w15:restartNumberingAfterBreak="0">
    <w:nsid w:val="5A177E24"/>
    <w:multiLevelType w:val="hybridMultilevel"/>
    <w:tmpl w:val="2E502C5E"/>
    <w:lvl w:ilvl="0" w:tplc="3474CB56">
      <w:start w:val="1"/>
      <w:numFmt w:val="decimal"/>
      <w:lvlText w:val="%1."/>
      <w:lvlJc w:val="left"/>
      <w:pPr>
        <w:ind w:left="720" w:hanging="360"/>
      </w:pPr>
      <w:rPr>
        <w:rFonts w:hint="default"/>
      </w:rPr>
    </w:lvl>
    <w:lvl w:ilvl="1" w:tplc="25405D82" w:tentative="1">
      <w:start w:val="1"/>
      <w:numFmt w:val="lowerLetter"/>
      <w:lvlText w:val="%2."/>
      <w:lvlJc w:val="left"/>
      <w:pPr>
        <w:ind w:left="1440" w:hanging="360"/>
      </w:pPr>
    </w:lvl>
    <w:lvl w:ilvl="2" w:tplc="E10C21DE" w:tentative="1">
      <w:start w:val="1"/>
      <w:numFmt w:val="lowerRoman"/>
      <w:lvlText w:val="%3."/>
      <w:lvlJc w:val="right"/>
      <w:pPr>
        <w:ind w:left="2160" w:hanging="180"/>
      </w:pPr>
    </w:lvl>
    <w:lvl w:ilvl="3" w:tplc="BBD8F25C" w:tentative="1">
      <w:start w:val="1"/>
      <w:numFmt w:val="decimal"/>
      <w:lvlText w:val="%4."/>
      <w:lvlJc w:val="left"/>
      <w:pPr>
        <w:ind w:left="2880" w:hanging="360"/>
      </w:pPr>
    </w:lvl>
    <w:lvl w:ilvl="4" w:tplc="77161A34" w:tentative="1">
      <w:start w:val="1"/>
      <w:numFmt w:val="lowerLetter"/>
      <w:lvlText w:val="%5."/>
      <w:lvlJc w:val="left"/>
      <w:pPr>
        <w:ind w:left="3600" w:hanging="360"/>
      </w:pPr>
    </w:lvl>
    <w:lvl w:ilvl="5" w:tplc="AB426D9E" w:tentative="1">
      <w:start w:val="1"/>
      <w:numFmt w:val="lowerRoman"/>
      <w:lvlText w:val="%6."/>
      <w:lvlJc w:val="right"/>
      <w:pPr>
        <w:ind w:left="4320" w:hanging="180"/>
      </w:pPr>
    </w:lvl>
    <w:lvl w:ilvl="6" w:tplc="D79AEAE6" w:tentative="1">
      <w:start w:val="1"/>
      <w:numFmt w:val="decimal"/>
      <w:lvlText w:val="%7."/>
      <w:lvlJc w:val="left"/>
      <w:pPr>
        <w:ind w:left="5040" w:hanging="360"/>
      </w:pPr>
    </w:lvl>
    <w:lvl w:ilvl="7" w:tplc="410E41B0" w:tentative="1">
      <w:start w:val="1"/>
      <w:numFmt w:val="lowerLetter"/>
      <w:lvlText w:val="%8."/>
      <w:lvlJc w:val="left"/>
      <w:pPr>
        <w:ind w:left="5760" w:hanging="360"/>
      </w:pPr>
    </w:lvl>
    <w:lvl w:ilvl="8" w:tplc="7B38920A" w:tentative="1">
      <w:start w:val="1"/>
      <w:numFmt w:val="lowerRoman"/>
      <w:lvlText w:val="%9."/>
      <w:lvlJc w:val="right"/>
      <w:pPr>
        <w:ind w:left="6480" w:hanging="180"/>
      </w:pPr>
    </w:lvl>
  </w:abstractNum>
  <w:abstractNum w:abstractNumId="35" w15:restartNumberingAfterBreak="0">
    <w:nsid w:val="5D294AF8"/>
    <w:multiLevelType w:val="multilevel"/>
    <w:tmpl w:val="AFD86D1E"/>
    <w:lvl w:ilvl="0">
      <w:start w:val="1"/>
      <w:numFmt w:val="decimal"/>
      <w:lvlText w:val="%1."/>
      <w:lvlJc w:val="left"/>
      <w:pPr>
        <w:tabs>
          <w:tab w:val="num" w:pos="720"/>
        </w:tabs>
        <w:ind w:left="0" w:firstLine="0"/>
      </w:pPr>
      <w:rPr>
        <w:rFonts w:ascii="Times New Roman Bold" w:hAnsi="Times New Roman Bold" w:cs="Times New Roman" w:hint="default"/>
        <w:b/>
        <w:i w:val="0"/>
        <w:color w:val="000000" w:themeColor="text1"/>
        <w:sz w:val="22"/>
      </w:rPr>
    </w:lvl>
    <w:lvl w:ilvl="1">
      <w:start w:val="1"/>
      <w:numFmt w:val="decimal"/>
      <w:isLgl/>
      <w:lvlText w:val="%1.%2."/>
      <w:lvlJc w:val="left"/>
      <w:pPr>
        <w:tabs>
          <w:tab w:val="num" w:pos="720"/>
        </w:tabs>
        <w:ind w:left="720" w:hanging="720"/>
      </w:pPr>
      <w:rPr>
        <w:rFonts w:ascii="Times New Roman Bold" w:hAnsi="Times New Roman Bold" w:cs="Times New Roman" w:hint="default"/>
        <w:b/>
        <w:i w:val="0"/>
        <w:color w:val="auto"/>
        <w:sz w:val="20"/>
      </w:rPr>
    </w:lvl>
    <w:lvl w:ilvl="2">
      <w:start w:val="1"/>
      <w:numFmt w:val="decimal"/>
      <w:lvlText w:val="%1.%2.%3."/>
      <w:lvlJc w:val="left"/>
      <w:pPr>
        <w:tabs>
          <w:tab w:val="num" w:pos="1004"/>
        </w:tabs>
        <w:ind w:left="1004" w:hanging="720"/>
      </w:pPr>
      <w:rPr>
        <w:rFonts w:ascii="Times New Roman" w:eastAsia="MS Mincho" w:hAnsi="Times New Roman" w:cs="Times New Roman" w:hint="default"/>
        <w:b/>
        <w:color w:val="000000" w:themeColor="text1"/>
        <w:sz w:val="20"/>
      </w:rPr>
    </w:lvl>
    <w:lvl w:ilvl="3">
      <w:start w:val="1"/>
      <w:numFmt w:val="decimal"/>
      <w:lvlText w:val="%1.%2.%3.%4."/>
      <w:lvlJc w:val="left"/>
      <w:pPr>
        <w:tabs>
          <w:tab w:val="num" w:pos="1146"/>
        </w:tabs>
        <w:ind w:left="1146" w:hanging="720"/>
      </w:pPr>
      <w:rPr>
        <w:rFonts w:ascii="Times New Roman" w:eastAsia="MS Mincho" w:hAnsi="Times New Roman" w:cs="Times New Roman" w:hint="default"/>
        <w:b/>
        <w:color w:val="000000" w:themeColor="text1"/>
        <w:sz w:val="20"/>
      </w:rPr>
    </w:lvl>
    <w:lvl w:ilvl="4">
      <w:start w:val="1"/>
      <w:numFmt w:val="lowerLetter"/>
      <w:lvlText w:val="(%5)"/>
      <w:lvlJc w:val="left"/>
      <w:pPr>
        <w:tabs>
          <w:tab w:val="num" w:pos="1440"/>
        </w:tabs>
        <w:ind w:left="1440" w:hanging="720"/>
      </w:pPr>
      <w:rPr>
        <w:rFonts w:ascii="Times New Roman" w:eastAsia="MS Mincho" w:hAnsi="Times New Roman" w:cs="Times New Roman" w:hint="default"/>
        <w:color w:val="000000" w:themeColor="text1"/>
        <w:sz w:val="22"/>
      </w:rPr>
    </w:lvl>
    <w:lvl w:ilvl="5">
      <w:start w:val="1"/>
      <w:numFmt w:val="lowerRoman"/>
      <w:lvlText w:val="(%6)"/>
      <w:lvlJc w:val="left"/>
      <w:pPr>
        <w:tabs>
          <w:tab w:val="num" w:pos="1440"/>
        </w:tabs>
        <w:ind w:left="1440" w:hanging="720"/>
      </w:pPr>
      <w:rPr>
        <w:rFonts w:ascii="Times New Roman" w:eastAsia="MS Mincho" w:hAnsi="Times New Roman" w:cs="Times New Roman" w:hint="default"/>
        <w:color w:val="000000" w:themeColor="text1"/>
        <w:sz w:val="22"/>
      </w:rPr>
    </w:lvl>
    <w:lvl w:ilvl="6">
      <w:start w:val="1"/>
      <w:numFmt w:val="upperLetter"/>
      <w:lvlText w:val="(%7)"/>
      <w:lvlJc w:val="left"/>
      <w:pPr>
        <w:tabs>
          <w:tab w:val="num" w:pos="2880"/>
        </w:tabs>
        <w:ind w:left="1440" w:firstLine="720"/>
      </w:pPr>
      <w:rPr>
        <w:rFonts w:ascii="Times New Roman" w:eastAsia="MS Mincho" w:hAnsi="Times New Roman" w:cs="Times New Roman" w:hint="default"/>
        <w:color w:val="000000" w:themeColor="text1"/>
        <w:sz w:val="22"/>
      </w:rPr>
    </w:lvl>
    <w:lvl w:ilvl="7">
      <w:start w:val="1"/>
      <w:numFmt w:val="upperRoman"/>
      <w:lvlText w:val="(%8)"/>
      <w:lvlJc w:val="left"/>
      <w:pPr>
        <w:tabs>
          <w:tab w:val="num" w:pos="3600"/>
        </w:tabs>
        <w:ind w:left="2160" w:firstLine="720"/>
      </w:pPr>
      <w:rPr>
        <w:rFonts w:ascii="Times New Roman" w:eastAsia="MS Mincho" w:hAnsi="Times New Roman" w:cs="Times New Roman" w:hint="default"/>
        <w:color w:val="000000" w:themeColor="text1"/>
        <w:sz w:val="22"/>
      </w:rPr>
    </w:lvl>
    <w:lvl w:ilvl="8">
      <w:start w:val="1"/>
      <w:numFmt w:val="decimal"/>
      <w:lvlText w:val="%9."/>
      <w:lvlJc w:val="left"/>
      <w:pPr>
        <w:tabs>
          <w:tab w:val="num" w:pos="5760"/>
        </w:tabs>
        <w:ind w:left="0" w:firstLine="5040"/>
      </w:pPr>
      <w:rPr>
        <w:rFonts w:ascii="Times New Roman" w:eastAsia="MS Mincho" w:hAnsi="Times New Roman" w:cs="Times New Roman" w:hint="default"/>
        <w:color w:val="000000" w:themeColor="text1"/>
        <w:sz w:val="22"/>
      </w:rPr>
    </w:lvl>
  </w:abstractNum>
  <w:abstractNum w:abstractNumId="36" w15:restartNumberingAfterBreak="0">
    <w:nsid w:val="66384737"/>
    <w:multiLevelType w:val="hybridMultilevel"/>
    <w:tmpl w:val="DA2EB7FC"/>
    <w:lvl w:ilvl="0" w:tplc="F790FF50">
      <w:start w:val="1"/>
      <w:numFmt w:val="lowerLetter"/>
      <w:pStyle w:val="wListLet3"/>
      <w:lvlText w:val="(%1)"/>
      <w:lvlJc w:val="left"/>
      <w:pPr>
        <w:ind w:left="180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C0016AE"/>
    <w:multiLevelType w:val="multilevel"/>
    <w:tmpl w:val="252E9936"/>
    <w:lvl w:ilvl="0">
      <w:start w:val="1"/>
      <w:numFmt w:val="decimal"/>
      <w:lvlText w:val="%1."/>
      <w:lvlJc w:val="left"/>
      <w:pPr>
        <w:tabs>
          <w:tab w:val="num" w:pos="720"/>
        </w:tabs>
        <w:ind w:left="0" w:firstLine="0"/>
      </w:pPr>
      <w:rPr>
        <w:rFonts w:ascii="Times New Roman Bold" w:hAnsi="Times New Roman Bold" w:cs="Times New Roman" w:hint="default"/>
        <w:b/>
        <w:i w:val="0"/>
        <w:color w:val="000000" w:themeColor="text1"/>
        <w:sz w:val="22"/>
      </w:rPr>
    </w:lvl>
    <w:lvl w:ilvl="1">
      <w:start w:val="1"/>
      <w:numFmt w:val="decimal"/>
      <w:isLgl/>
      <w:lvlText w:val="%1.%2."/>
      <w:lvlJc w:val="left"/>
      <w:pPr>
        <w:tabs>
          <w:tab w:val="num" w:pos="720"/>
        </w:tabs>
        <w:ind w:left="720" w:hanging="720"/>
      </w:pPr>
      <w:rPr>
        <w:rFonts w:ascii="Times New Roman Bold" w:hAnsi="Times New Roman Bold" w:cs="Times New Roman" w:hint="default"/>
        <w:b/>
        <w:i w:val="0"/>
        <w:color w:val="auto"/>
        <w:sz w:val="20"/>
      </w:rPr>
    </w:lvl>
    <w:lvl w:ilvl="2">
      <w:start w:val="1"/>
      <w:numFmt w:val="decimal"/>
      <w:lvlText w:val="%1.%2.%3."/>
      <w:lvlJc w:val="left"/>
      <w:pPr>
        <w:tabs>
          <w:tab w:val="num" w:pos="1004"/>
        </w:tabs>
        <w:ind w:left="1004" w:hanging="720"/>
      </w:pPr>
      <w:rPr>
        <w:rFonts w:ascii="Times New Roman" w:eastAsia="MS Mincho" w:hAnsi="Times New Roman" w:cs="Times New Roman" w:hint="default"/>
        <w:b/>
        <w:color w:val="000000" w:themeColor="text1"/>
        <w:sz w:val="20"/>
      </w:rPr>
    </w:lvl>
    <w:lvl w:ilvl="3">
      <w:start w:val="1"/>
      <w:numFmt w:val="decimal"/>
      <w:lvlText w:val="%1.%2.%3.%4."/>
      <w:lvlJc w:val="left"/>
      <w:pPr>
        <w:tabs>
          <w:tab w:val="num" w:pos="1146"/>
        </w:tabs>
        <w:ind w:left="1146" w:hanging="720"/>
      </w:pPr>
      <w:rPr>
        <w:rFonts w:ascii="Times New Roman" w:eastAsia="MS Mincho" w:hAnsi="Times New Roman" w:cs="Times New Roman" w:hint="default"/>
        <w:b/>
        <w:color w:val="000000" w:themeColor="text1"/>
        <w:sz w:val="20"/>
      </w:rPr>
    </w:lvl>
    <w:lvl w:ilvl="4">
      <w:start w:val="1"/>
      <w:numFmt w:val="lowerLetter"/>
      <w:lvlText w:val="(%5)"/>
      <w:lvlJc w:val="left"/>
      <w:pPr>
        <w:tabs>
          <w:tab w:val="num" w:pos="1440"/>
        </w:tabs>
        <w:ind w:left="1440" w:hanging="720"/>
      </w:pPr>
      <w:rPr>
        <w:rFonts w:ascii="Times New Roman" w:eastAsia="MS Mincho" w:hAnsi="Times New Roman" w:cs="Times New Roman" w:hint="default"/>
        <w:color w:val="000000" w:themeColor="text1"/>
        <w:sz w:val="22"/>
      </w:rPr>
    </w:lvl>
    <w:lvl w:ilvl="5">
      <w:start w:val="1"/>
      <w:numFmt w:val="lowerRoman"/>
      <w:lvlText w:val="(%6)"/>
      <w:lvlJc w:val="left"/>
      <w:pPr>
        <w:tabs>
          <w:tab w:val="num" w:pos="1440"/>
        </w:tabs>
        <w:ind w:left="1440" w:hanging="720"/>
      </w:pPr>
      <w:rPr>
        <w:rFonts w:ascii="Times New Roman" w:eastAsia="MS Mincho" w:hAnsi="Times New Roman" w:cs="Times New Roman" w:hint="default"/>
        <w:color w:val="000000" w:themeColor="text1"/>
        <w:sz w:val="22"/>
      </w:rPr>
    </w:lvl>
    <w:lvl w:ilvl="6">
      <w:start w:val="1"/>
      <w:numFmt w:val="upperLetter"/>
      <w:lvlText w:val="(%7)"/>
      <w:lvlJc w:val="left"/>
      <w:pPr>
        <w:tabs>
          <w:tab w:val="num" w:pos="2880"/>
        </w:tabs>
        <w:ind w:left="1440" w:firstLine="720"/>
      </w:pPr>
      <w:rPr>
        <w:rFonts w:ascii="Times New Roman" w:eastAsia="MS Mincho" w:hAnsi="Times New Roman" w:cs="Times New Roman" w:hint="default"/>
        <w:color w:val="000000" w:themeColor="text1"/>
        <w:sz w:val="22"/>
      </w:rPr>
    </w:lvl>
    <w:lvl w:ilvl="7">
      <w:start w:val="1"/>
      <w:numFmt w:val="upperRoman"/>
      <w:lvlText w:val="(%8)"/>
      <w:lvlJc w:val="left"/>
      <w:pPr>
        <w:tabs>
          <w:tab w:val="num" w:pos="3600"/>
        </w:tabs>
        <w:ind w:left="2160" w:firstLine="720"/>
      </w:pPr>
      <w:rPr>
        <w:rFonts w:ascii="Times New Roman" w:eastAsia="MS Mincho" w:hAnsi="Times New Roman" w:cs="Times New Roman" w:hint="default"/>
        <w:color w:val="000000" w:themeColor="text1"/>
        <w:sz w:val="22"/>
      </w:rPr>
    </w:lvl>
    <w:lvl w:ilvl="8">
      <w:start w:val="1"/>
      <w:numFmt w:val="decimal"/>
      <w:lvlText w:val="%9."/>
      <w:lvlJc w:val="left"/>
      <w:pPr>
        <w:tabs>
          <w:tab w:val="num" w:pos="5760"/>
        </w:tabs>
        <w:ind w:left="0" w:firstLine="5040"/>
      </w:pPr>
      <w:rPr>
        <w:rFonts w:ascii="Times New Roman" w:eastAsia="MS Mincho" w:hAnsi="Times New Roman" w:cs="Times New Roman" w:hint="default"/>
        <w:color w:val="000000" w:themeColor="text1"/>
        <w:sz w:val="22"/>
      </w:rPr>
    </w:lvl>
  </w:abstractNum>
  <w:abstractNum w:abstractNumId="38" w15:restartNumberingAfterBreak="0">
    <w:nsid w:val="766606ED"/>
    <w:multiLevelType w:val="hybridMultilevel"/>
    <w:tmpl w:val="D586F636"/>
    <w:lvl w:ilvl="0" w:tplc="08445FF4">
      <w:start w:val="1"/>
      <w:numFmt w:val="lowerLetter"/>
      <w:pStyle w:val="wListLet"/>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6C82148"/>
    <w:multiLevelType w:val="hybridMultilevel"/>
    <w:tmpl w:val="FB9AF3C8"/>
    <w:lvl w:ilvl="0" w:tplc="193A06BA">
      <w:start w:val="1"/>
      <w:numFmt w:val="decimal"/>
      <w:lvlText w:val="%1."/>
      <w:lvlJc w:val="left"/>
      <w:pPr>
        <w:tabs>
          <w:tab w:val="num" w:pos="567"/>
        </w:tabs>
        <w:ind w:left="567" w:hanging="567"/>
      </w:pPr>
      <w:rPr>
        <w:rFonts w:hint="default"/>
      </w:rPr>
    </w:lvl>
    <w:lvl w:ilvl="1" w:tplc="5B2CFAF6" w:tentative="1">
      <w:start w:val="1"/>
      <w:numFmt w:val="lowerLetter"/>
      <w:lvlText w:val="%2."/>
      <w:lvlJc w:val="left"/>
      <w:pPr>
        <w:tabs>
          <w:tab w:val="num" w:pos="1440"/>
        </w:tabs>
        <w:ind w:left="1440" w:hanging="360"/>
      </w:pPr>
    </w:lvl>
    <w:lvl w:ilvl="2" w:tplc="50A0830E" w:tentative="1">
      <w:start w:val="1"/>
      <w:numFmt w:val="lowerRoman"/>
      <w:lvlText w:val="%3."/>
      <w:lvlJc w:val="right"/>
      <w:pPr>
        <w:tabs>
          <w:tab w:val="num" w:pos="2160"/>
        </w:tabs>
        <w:ind w:left="2160" w:hanging="180"/>
      </w:pPr>
    </w:lvl>
    <w:lvl w:ilvl="3" w:tplc="4E5ED0AE" w:tentative="1">
      <w:start w:val="1"/>
      <w:numFmt w:val="decimal"/>
      <w:lvlText w:val="%4."/>
      <w:lvlJc w:val="left"/>
      <w:pPr>
        <w:tabs>
          <w:tab w:val="num" w:pos="2880"/>
        </w:tabs>
        <w:ind w:left="2880" w:hanging="360"/>
      </w:pPr>
    </w:lvl>
    <w:lvl w:ilvl="4" w:tplc="4FE68F12" w:tentative="1">
      <w:start w:val="1"/>
      <w:numFmt w:val="lowerLetter"/>
      <w:lvlText w:val="%5."/>
      <w:lvlJc w:val="left"/>
      <w:pPr>
        <w:tabs>
          <w:tab w:val="num" w:pos="3600"/>
        </w:tabs>
        <w:ind w:left="3600" w:hanging="360"/>
      </w:pPr>
    </w:lvl>
    <w:lvl w:ilvl="5" w:tplc="06AA04BE" w:tentative="1">
      <w:start w:val="1"/>
      <w:numFmt w:val="lowerRoman"/>
      <w:lvlText w:val="%6."/>
      <w:lvlJc w:val="right"/>
      <w:pPr>
        <w:tabs>
          <w:tab w:val="num" w:pos="4320"/>
        </w:tabs>
        <w:ind w:left="4320" w:hanging="180"/>
      </w:pPr>
    </w:lvl>
    <w:lvl w:ilvl="6" w:tplc="3AAC391E" w:tentative="1">
      <w:start w:val="1"/>
      <w:numFmt w:val="decimal"/>
      <w:lvlText w:val="%7."/>
      <w:lvlJc w:val="left"/>
      <w:pPr>
        <w:tabs>
          <w:tab w:val="num" w:pos="5040"/>
        </w:tabs>
        <w:ind w:left="5040" w:hanging="360"/>
      </w:pPr>
    </w:lvl>
    <w:lvl w:ilvl="7" w:tplc="AD983EEE" w:tentative="1">
      <w:start w:val="1"/>
      <w:numFmt w:val="lowerLetter"/>
      <w:lvlText w:val="%8."/>
      <w:lvlJc w:val="left"/>
      <w:pPr>
        <w:tabs>
          <w:tab w:val="num" w:pos="5760"/>
        </w:tabs>
        <w:ind w:left="5760" w:hanging="360"/>
      </w:pPr>
    </w:lvl>
    <w:lvl w:ilvl="8" w:tplc="9C1E9724" w:tentative="1">
      <w:start w:val="1"/>
      <w:numFmt w:val="lowerRoman"/>
      <w:lvlText w:val="%9."/>
      <w:lvlJc w:val="right"/>
      <w:pPr>
        <w:tabs>
          <w:tab w:val="num" w:pos="6480"/>
        </w:tabs>
        <w:ind w:left="6480" w:hanging="180"/>
      </w:pPr>
    </w:lvl>
  </w:abstractNum>
  <w:abstractNum w:abstractNumId="40" w15:restartNumberingAfterBreak="0">
    <w:nsid w:val="7BE017A5"/>
    <w:multiLevelType w:val="hybridMultilevel"/>
    <w:tmpl w:val="3CE695F4"/>
    <w:name w:val="Recitals"/>
    <w:lvl w:ilvl="0" w:tplc="37F40F88">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D840E73"/>
    <w:multiLevelType w:val="multilevel"/>
    <w:tmpl w:val="F4E495B6"/>
    <w:lvl w:ilvl="0">
      <w:start w:val="1"/>
      <w:numFmt w:val="decimal"/>
      <w:lvlText w:val="%1."/>
      <w:lvlJc w:val="left"/>
      <w:pPr>
        <w:tabs>
          <w:tab w:val="num" w:pos="720"/>
        </w:tabs>
        <w:ind w:left="0" w:firstLine="0"/>
      </w:pPr>
      <w:rPr>
        <w:rFonts w:ascii="Times New Roman Bold" w:hAnsi="Times New Roman Bold" w:cs="Times New Roman" w:hint="default"/>
        <w:b/>
        <w:i w:val="0"/>
        <w:color w:val="000000" w:themeColor="text1"/>
        <w:sz w:val="22"/>
      </w:rPr>
    </w:lvl>
    <w:lvl w:ilvl="1">
      <w:start w:val="1"/>
      <w:numFmt w:val="decimal"/>
      <w:isLgl/>
      <w:lvlText w:val="%1.%2."/>
      <w:lvlJc w:val="left"/>
      <w:pPr>
        <w:tabs>
          <w:tab w:val="num" w:pos="720"/>
        </w:tabs>
        <w:ind w:left="720" w:hanging="720"/>
      </w:pPr>
      <w:rPr>
        <w:rFonts w:ascii="Times New Roman Bold" w:hAnsi="Times New Roman Bold" w:cs="Times New Roman" w:hint="default"/>
        <w:b/>
        <w:i w:val="0"/>
        <w:color w:val="auto"/>
        <w:sz w:val="20"/>
      </w:rPr>
    </w:lvl>
    <w:lvl w:ilvl="2">
      <w:start w:val="1"/>
      <w:numFmt w:val="decimal"/>
      <w:lvlText w:val="%1.%2.%3."/>
      <w:lvlJc w:val="left"/>
      <w:pPr>
        <w:tabs>
          <w:tab w:val="num" w:pos="1004"/>
        </w:tabs>
        <w:ind w:left="1004" w:hanging="720"/>
      </w:pPr>
      <w:rPr>
        <w:rFonts w:ascii="Times New Roman" w:eastAsia="MS Mincho" w:hAnsi="Times New Roman" w:cs="Times New Roman" w:hint="default"/>
        <w:b/>
        <w:color w:val="000000" w:themeColor="text1"/>
        <w:sz w:val="20"/>
      </w:rPr>
    </w:lvl>
    <w:lvl w:ilvl="3">
      <w:start w:val="1"/>
      <w:numFmt w:val="decimal"/>
      <w:lvlText w:val="%1.%2.%3.%4."/>
      <w:lvlJc w:val="left"/>
      <w:pPr>
        <w:tabs>
          <w:tab w:val="num" w:pos="1146"/>
        </w:tabs>
        <w:ind w:left="1146" w:hanging="720"/>
      </w:pPr>
      <w:rPr>
        <w:rFonts w:ascii="Times New Roman" w:eastAsia="MS Mincho" w:hAnsi="Times New Roman" w:cs="Times New Roman" w:hint="default"/>
        <w:b/>
        <w:color w:val="000000" w:themeColor="text1"/>
        <w:sz w:val="20"/>
      </w:rPr>
    </w:lvl>
    <w:lvl w:ilvl="4">
      <w:start w:val="1"/>
      <w:numFmt w:val="lowerLetter"/>
      <w:lvlText w:val="(%5)"/>
      <w:lvlJc w:val="left"/>
      <w:pPr>
        <w:tabs>
          <w:tab w:val="num" w:pos="1440"/>
        </w:tabs>
        <w:ind w:left="1440" w:hanging="720"/>
      </w:pPr>
      <w:rPr>
        <w:rFonts w:ascii="Times New Roman" w:eastAsia="MS Mincho" w:hAnsi="Times New Roman" w:cs="Times New Roman" w:hint="default"/>
        <w:color w:val="000000" w:themeColor="text1"/>
        <w:sz w:val="22"/>
      </w:rPr>
    </w:lvl>
    <w:lvl w:ilvl="5">
      <w:start w:val="1"/>
      <w:numFmt w:val="lowerRoman"/>
      <w:lvlText w:val="(%6)"/>
      <w:lvlJc w:val="left"/>
      <w:pPr>
        <w:tabs>
          <w:tab w:val="num" w:pos="1440"/>
        </w:tabs>
        <w:ind w:left="1440" w:hanging="720"/>
      </w:pPr>
      <w:rPr>
        <w:rFonts w:ascii="Times New Roman" w:eastAsia="MS Mincho" w:hAnsi="Times New Roman" w:cs="Times New Roman" w:hint="default"/>
        <w:color w:val="000000" w:themeColor="text1"/>
        <w:sz w:val="22"/>
      </w:rPr>
    </w:lvl>
    <w:lvl w:ilvl="6">
      <w:start w:val="1"/>
      <w:numFmt w:val="upperLetter"/>
      <w:lvlText w:val="(%7)"/>
      <w:lvlJc w:val="left"/>
      <w:pPr>
        <w:tabs>
          <w:tab w:val="num" w:pos="2880"/>
        </w:tabs>
        <w:ind w:left="1440" w:firstLine="720"/>
      </w:pPr>
      <w:rPr>
        <w:rFonts w:ascii="Times New Roman" w:eastAsia="MS Mincho" w:hAnsi="Times New Roman" w:cs="Times New Roman" w:hint="default"/>
        <w:color w:val="000000" w:themeColor="text1"/>
        <w:sz w:val="22"/>
      </w:rPr>
    </w:lvl>
    <w:lvl w:ilvl="7">
      <w:start w:val="1"/>
      <w:numFmt w:val="upperRoman"/>
      <w:lvlText w:val="(%8)"/>
      <w:lvlJc w:val="left"/>
      <w:pPr>
        <w:tabs>
          <w:tab w:val="num" w:pos="3600"/>
        </w:tabs>
        <w:ind w:left="2160" w:firstLine="720"/>
      </w:pPr>
      <w:rPr>
        <w:rFonts w:ascii="Times New Roman" w:eastAsia="MS Mincho" w:hAnsi="Times New Roman" w:cs="Times New Roman" w:hint="default"/>
        <w:color w:val="000000" w:themeColor="text1"/>
        <w:sz w:val="22"/>
      </w:rPr>
    </w:lvl>
    <w:lvl w:ilvl="8">
      <w:start w:val="1"/>
      <w:numFmt w:val="decimal"/>
      <w:lvlText w:val="%9."/>
      <w:lvlJc w:val="left"/>
      <w:pPr>
        <w:tabs>
          <w:tab w:val="num" w:pos="5760"/>
        </w:tabs>
        <w:ind w:left="0" w:firstLine="5040"/>
      </w:pPr>
      <w:rPr>
        <w:rFonts w:ascii="Times New Roman" w:eastAsia="MS Mincho" w:hAnsi="Times New Roman" w:cs="Times New Roman" w:hint="default"/>
        <w:color w:val="000000" w:themeColor="text1"/>
        <w:sz w:val="22"/>
      </w:rPr>
    </w:lvl>
  </w:abstractNum>
  <w:num w:numId="1" w16cid:durableId="1562791677">
    <w:abstractNumId w:val="30"/>
  </w:num>
  <w:num w:numId="2" w16cid:durableId="499198412">
    <w:abstractNumId w:val="29"/>
  </w:num>
  <w:num w:numId="3" w16cid:durableId="223024835">
    <w:abstractNumId w:val="13"/>
  </w:num>
  <w:num w:numId="4" w16cid:durableId="1350139866">
    <w:abstractNumId w:val="0"/>
  </w:num>
  <w:num w:numId="5" w16cid:durableId="253711053">
    <w:abstractNumId w:val="31"/>
  </w:num>
  <w:num w:numId="6" w16cid:durableId="1103453500">
    <w:abstractNumId w:val="32"/>
  </w:num>
  <w:num w:numId="7" w16cid:durableId="1183738774">
    <w:abstractNumId w:val="25"/>
  </w:num>
  <w:num w:numId="8" w16cid:durableId="680399416">
    <w:abstractNumId w:val="1"/>
  </w:num>
  <w:num w:numId="9" w16cid:durableId="472675293">
    <w:abstractNumId w:val="8"/>
  </w:num>
  <w:num w:numId="10" w16cid:durableId="1902330184">
    <w:abstractNumId w:val="21"/>
  </w:num>
  <w:num w:numId="11" w16cid:durableId="81952416">
    <w:abstractNumId w:val="24"/>
  </w:num>
  <w:num w:numId="12" w16cid:durableId="559634338">
    <w:abstractNumId w:val="7"/>
  </w:num>
  <w:num w:numId="13" w16cid:durableId="428547023">
    <w:abstractNumId w:val="5"/>
  </w:num>
  <w:num w:numId="14" w16cid:durableId="165363599">
    <w:abstractNumId w:val="10"/>
  </w:num>
  <w:num w:numId="15" w16cid:durableId="376249269">
    <w:abstractNumId w:val="19"/>
  </w:num>
  <w:num w:numId="16" w16cid:durableId="1693998311">
    <w:abstractNumId w:val="15"/>
  </w:num>
  <w:num w:numId="17" w16cid:durableId="1370494823">
    <w:abstractNumId w:val="20"/>
  </w:num>
  <w:num w:numId="18" w16cid:durableId="2127195418">
    <w:abstractNumId w:val="17"/>
  </w:num>
  <w:num w:numId="19" w16cid:durableId="1493908807">
    <w:abstractNumId w:val="11"/>
  </w:num>
  <w:num w:numId="20" w16cid:durableId="306669277">
    <w:abstractNumId w:val="38"/>
  </w:num>
  <w:num w:numId="21" w16cid:durableId="111246433">
    <w:abstractNumId w:val="22"/>
  </w:num>
  <w:num w:numId="22" w16cid:durableId="1510365686">
    <w:abstractNumId w:val="36"/>
  </w:num>
  <w:num w:numId="23" w16cid:durableId="1756591373">
    <w:abstractNumId w:val="18"/>
  </w:num>
  <w:num w:numId="24" w16cid:durableId="1247424486">
    <w:abstractNumId w:val="9"/>
  </w:num>
  <w:num w:numId="25" w16cid:durableId="1384404974">
    <w:abstractNumId w:val="4"/>
  </w:num>
  <w:num w:numId="26" w16cid:durableId="14330904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13117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14348227">
    <w:abstractNumId w:val="9"/>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29" w16cid:durableId="8462865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0008100">
    <w:abstractNumId w:val="2"/>
  </w:num>
  <w:num w:numId="31" w16cid:durableId="337974934">
    <w:abstractNumId w:val="14"/>
  </w:num>
  <w:num w:numId="32" w16cid:durableId="19356246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86878157">
    <w:abstractNumId w:val="34"/>
  </w:num>
  <w:num w:numId="34" w16cid:durableId="1095901074">
    <w:abstractNumId w:val="12"/>
  </w:num>
  <w:num w:numId="35" w16cid:durableId="1380469253">
    <w:abstractNumId w:val="39"/>
  </w:num>
  <w:num w:numId="36" w16cid:durableId="1482235616">
    <w:abstractNumId w:val="37"/>
  </w:num>
  <w:num w:numId="37" w16cid:durableId="762261011">
    <w:abstractNumId w:val="41"/>
  </w:num>
  <w:num w:numId="38" w16cid:durableId="1115708488">
    <w:abstractNumId w:val="6"/>
  </w:num>
  <w:num w:numId="39" w16cid:durableId="322203188">
    <w:abstractNumId w:val="33"/>
  </w:num>
  <w:num w:numId="40" w16cid:durableId="392848763">
    <w:abstractNumId w:val="16"/>
  </w:num>
  <w:num w:numId="41" w16cid:durableId="2032873507">
    <w:abstractNumId w:val="35"/>
  </w:num>
  <w:num w:numId="42" w16cid:durableId="1600605627">
    <w:abstractNumId w:val="26"/>
  </w:num>
  <w:num w:numId="43" w16cid:durableId="875851452">
    <w:abstractNumId w:val="3"/>
  </w:num>
  <w:num w:numId="44" w16cid:durableId="904993247">
    <w:abstractNumId w:val="15"/>
    <w:lvlOverride w:ilvl="0">
      <w:startOverride w:val="2"/>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0679586">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oNotDisplayPageBoundaries/>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C75"/>
    <w:rsid w:val="00011622"/>
    <w:rsid w:val="000233CE"/>
    <w:rsid w:val="00024B08"/>
    <w:rsid w:val="000403B6"/>
    <w:rsid w:val="00053814"/>
    <w:rsid w:val="000546A1"/>
    <w:rsid w:val="00061632"/>
    <w:rsid w:val="000740CE"/>
    <w:rsid w:val="000849C1"/>
    <w:rsid w:val="00096922"/>
    <w:rsid w:val="000A166B"/>
    <w:rsid w:val="000B1632"/>
    <w:rsid w:val="000C11C6"/>
    <w:rsid w:val="000E4E8F"/>
    <w:rsid w:val="000F0EE3"/>
    <w:rsid w:val="000F4F2B"/>
    <w:rsid w:val="0010140D"/>
    <w:rsid w:val="00105A60"/>
    <w:rsid w:val="00116577"/>
    <w:rsid w:val="00121B58"/>
    <w:rsid w:val="001241E8"/>
    <w:rsid w:val="001361DF"/>
    <w:rsid w:val="00140D8E"/>
    <w:rsid w:val="0014273E"/>
    <w:rsid w:val="001450FF"/>
    <w:rsid w:val="00147CD9"/>
    <w:rsid w:val="001609F3"/>
    <w:rsid w:val="0016113C"/>
    <w:rsid w:val="0017170F"/>
    <w:rsid w:val="00171929"/>
    <w:rsid w:val="0017605F"/>
    <w:rsid w:val="001901A3"/>
    <w:rsid w:val="001950B9"/>
    <w:rsid w:val="001A4DA9"/>
    <w:rsid w:val="001B0338"/>
    <w:rsid w:val="001C7761"/>
    <w:rsid w:val="001D564D"/>
    <w:rsid w:val="001E0635"/>
    <w:rsid w:val="001F730D"/>
    <w:rsid w:val="00200B15"/>
    <w:rsid w:val="00210883"/>
    <w:rsid w:val="002151A9"/>
    <w:rsid w:val="002213D1"/>
    <w:rsid w:val="002346C3"/>
    <w:rsid w:val="00242C7C"/>
    <w:rsid w:val="00256050"/>
    <w:rsid w:val="00281DD1"/>
    <w:rsid w:val="002825ED"/>
    <w:rsid w:val="00297C3C"/>
    <w:rsid w:val="002A2BF5"/>
    <w:rsid w:val="002A3044"/>
    <w:rsid w:val="002B10AD"/>
    <w:rsid w:val="002B415A"/>
    <w:rsid w:val="002D0FAA"/>
    <w:rsid w:val="002E0AF8"/>
    <w:rsid w:val="002E4649"/>
    <w:rsid w:val="002F0311"/>
    <w:rsid w:val="003006EB"/>
    <w:rsid w:val="00305665"/>
    <w:rsid w:val="00326ECD"/>
    <w:rsid w:val="00331225"/>
    <w:rsid w:val="00333A72"/>
    <w:rsid w:val="003661BA"/>
    <w:rsid w:val="003715BB"/>
    <w:rsid w:val="00372911"/>
    <w:rsid w:val="003734A6"/>
    <w:rsid w:val="00390A34"/>
    <w:rsid w:val="003A0B9C"/>
    <w:rsid w:val="003A6266"/>
    <w:rsid w:val="003A6750"/>
    <w:rsid w:val="003A71AB"/>
    <w:rsid w:val="003B2B8E"/>
    <w:rsid w:val="003B5D21"/>
    <w:rsid w:val="003C6F96"/>
    <w:rsid w:val="003E093A"/>
    <w:rsid w:val="003E4DF8"/>
    <w:rsid w:val="003F46C2"/>
    <w:rsid w:val="00400832"/>
    <w:rsid w:val="004055BA"/>
    <w:rsid w:val="00422980"/>
    <w:rsid w:val="00425974"/>
    <w:rsid w:val="004313F3"/>
    <w:rsid w:val="00432195"/>
    <w:rsid w:val="00440CF3"/>
    <w:rsid w:val="0044240F"/>
    <w:rsid w:val="00447A21"/>
    <w:rsid w:val="00464F92"/>
    <w:rsid w:val="004800A5"/>
    <w:rsid w:val="004A2451"/>
    <w:rsid w:val="004B3C22"/>
    <w:rsid w:val="004C33B1"/>
    <w:rsid w:val="004D0DF1"/>
    <w:rsid w:val="004E1C48"/>
    <w:rsid w:val="004F0BF3"/>
    <w:rsid w:val="005373FE"/>
    <w:rsid w:val="005465B2"/>
    <w:rsid w:val="00550EB9"/>
    <w:rsid w:val="00553DF0"/>
    <w:rsid w:val="00555E01"/>
    <w:rsid w:val="00561816"/>
    <w:rsid w:val="00566439"/>
    <w:rsid w:val="00594EAF"/>
    <w:rsid w:val="005B0359"/>
    <w:rsid w:val="005B0CA3"/>
    <w:rsid w:val="005C18DB"/>
    <w:rsid w:val="005C33E5"/>
    <w:rsid w:val="005C768B"/>
    <w:rsid w:val="005E434E"/>
    <w:rsid w:val="005F1F71"/>
    <w:rsid w:val="00604D82"/>
    <w:rsid w:val="006141C9"/>
    <w:rsid w:val="00614958"/>
    <w:rsid w:val="00626EDD"/>
    <w:rsid w:val="00635EC1"/>
    <w:rsid w:val="00642288"/>
    <w:rsid w:val="006560FF"/>
    <w:rsid w:val="0066142D"/>
    <w:rsid w:val="00672573"/>
    <w:rsid w:val="006806E0"/>
    <w:rsid w:val="0068175B"/>
    <w:rsid w:val="00682433"/>
    <w:rsid w:val="006873E2"/>
    <w:rsid w:val="00692B1E"/>
    <w:rsid w:val="006B0BFC"/>
    <w:rsid w:val="006C1811"/>
    <w:rsid w:val="006C2D88"/>
    <w:rsid w:val="006D5C52"/>
    <w:rsid w:val="006E68EE"/>
    <w:rsid w:val="006F13E8"/>
    <w:rsid w:val="006F1C68"/>
    <w:rsid w:val="006F2E2C"/>
    <w:rsid w:val="00703A04"/>
    <w:rsid w:val="00705ABE"/>
    <w:rsid w:val="007060C7"/>
    <w:rsid w:val="00706D8A"/>
    <w:rsid w:val="00714596"/>
    <w:rsid w:val="00721F8C"/>
    <w:rsid w:val="00742547"/>
    <w:rsid w:val="00744D10"/>
    <w:rsid w:val="007511E3"/>
    <w:rsid w:val="00754FAA"/>
    <w:rsid w:val="0075756B"/>
    <w:rsid w:val="00763C51"/>
    <w:rsid w:val="00764B25"/>
    <w:rsid w:val="00767B6A"/>
    <w:rsid w:val="00781461"/>
    <w:rsid w:val="007839B4"/>
    <w:rsid w:val="00790476"/>
    <w:rsid w:val="007920C9"/>
    <w:rsid w:val="007935C8"/>
    <w:rsid w:val="0079374D"/>
    <w:rsid w:val="0079563D"/>
    <w:rsid w:val="007A6AD6"/>
    <w:rsid w:val="007B5B3F"/>
    <w:rsid w:val="007E0C6F"/>
    <w:rsid w:val="007E5BF0"/>
    <w:rsid w:val="00812BBF"/>
    <w:rsid w:val="00821FA1"/>
    <w:rsid w:val="00843F28"/>
    <w:rsid w:val="00844C17"/>
    <w:rsid w:val="00845425"/>
    <w:rsid w:val="00846AFA"/>
    <w:rsid w:val="00846CFE"/>
    <w:rsid w:val="00854C74"/>
    <w:rsid w:val="008649D7"/>
    <w:rsid w:val="008739B0"/>
    <w:rsid w:val="00876572"/>
    <w:rsid w:val="00876E93"/>
    <w:rsid w:val="008846D0"/>
    <w:rsid w:val="0089716C"/>
    <w:rsid w:val="008A70A8"/>
    <w:rsid w:val="008B7493"/>
    <w:rsid w:val="008D01B1"/>
    <w:rsid w:val="008D11D0"/>
    <w:rsid w:val="008E0C68"/>
    <w:rsid w:val="008E6C9C"/>
    <w:rsid w:val="008F1A7D"/>
    <w:rsid w:val="008F2FAF"/>
    <w:rsid w:val="00902D3C"/>
    <w:rsid w:val="00914033"/>
    <w:rsid w:val="00915C75"/>
    <w:rsid w:val="00931CD7"/>
    <w:rsid w:val="00941A97"/>
    <w:rsid w:val="00946121"/>
    <w:rsid w:val="00946FBB"/>
    <w:rsid w:val="00947C80"/>
    <w:rsid w:val="00956BF9"/>
    <w:rsid w:val="00964E84"/>
    <w:rsid w:val="009765A2"/>
    <w:rsid w:val="00985125"/>
    <w:rsid w:val="00986AE7"/>
    <w:rsid w:val="00990BB5"/>
    <w:rsid w:val="00991666"/>
    <w:rsid w:val="00991794"/>
    <w:rsid w:val="009928D5"/>
    <w:rsid w:val="009A6D6B"/>
    <w:rsid w:val="009B3A7F"/>
    <w:rsid w:val="009B536E"/>
    <w:rsid w:val="009C13D0"/>
    <w:rsid w:val="009D0F44"/>
    <w:rsid w:val="009D1CB2"/>
    <w:rsid w:val="009D307D"/>
    <w:rsid w:val="009D4A74"/>
    <w:rsid w:val="009E2292"/>
    <w:rsid w:val="009F63DF"/>
    <w:rsid w:val="009F6647"/>
    <w:rsid w:val="00A067A8"/>
    <w:rsid w:val="00A2184F"/>
    <w:rsid w:val="00A225D1"/>
    <w:rsid w:val="00A32BDA"/>
    <w:rsid w:val="00A352A6"/>
    <w:rsid w:val="00A40F41"/>
    <w:rsid w:val="00A55CDE"/>
    <w:rsid w:val="00A651A0"/>
    <w:rsid w:val="00A72F41"/>
    <w:rsid w:val="00A84885"/>
    <w:rsid w:val="00A8739F"/>
    <w:rsid w:val="00A97A80"/>
    <w:rsid w:val="00AA4E89"/>
    <w:rsid w:val="00AB12CE"/>
    <w:rsid w:val="00AB26EF"/>
    <w:rsid w:val="00AB5BAC"/>
    <w:rsid w:val="00AB7510"/>
    <w:rsid w:val="00AB77D2"/>
    <w:rsid w:val="00AC0A0E"/>
    <w:rsid w:val="00AD59E4"/>
    <w:rsid w:val="00AF1AA3"/>
    <w:rsid w:val="00AF7CB6"/>
    <w:rsid w:val="00B0021D"/>
    <w:rsid w:val="00B05308"/>
    <w:rsid w:val="00B25024"/>
    <w:rsid w:val="00B32FE2"/>
    <w:rsid w:val="00B4676F"/>
    <w:rsid w:val="00B575F0"/>
    <w:rsid w:val="00B64170"/>
    <w:rsid w:val="00BA5F00"/>
    <w:rsid w:val="00BB1925"/>
    <w:rsid w:val="00BB34F5"/>
    <w:rsid w:val="00BD207D"/>
    <w:rsid w:val="00BD3DCB"/>
    <w:rsid w:val="00BE2177"/>
    <w:rsid w:val="00BE752A"/>
    <w:rsid w:val="00BF1512"/>
    <w:rsid w:val="00C048A6"/>
    <w:rsid w:val="00C07C39"/>
    <w:rsid w:val="00C13F79"/>
    <w:rsid w:val="00C20617"/>
    <w:rsid w:val="00C376BF"/>
    <w:rsid w:val="00C632CB"/>
    <w:rsid w:val="00C8208E"/>
    <w:rsid w:val="00C84471"/>
    <w:rsid w:val="00CB7E39"/>
    <w:rsid w:val="00CF1088"/>
    <w:rsid w:val="00CF5469"/>
    <w:rsid w:val="00D01347"/>
    <w:rsid w:val="00D05ED1"/>
    <w:rsid w:val="00D1241C"/>
    <w:rsid w:val="00D207AA"/>
    <w:rsid w:val="00D27C75"/>
    <w:rsid w:val="00D331F0"/>
    <w:rsid w:val="00D4098A"/>
    <w:rsid w:val="00D43645"/>
    <w:rsid w:val="00D56317"/>
    <w:rsid w:val="00D57D07"/>
    <w:rsid w:val="00D72650"/>
    <w:rsid w:val="00D72C46"/>
    <w:rsid w:val="00D862C8"/>
    <w:rsid w:val="00D926EE"/>
    <w:rsid w:val="00D97EEA"/>
    <w:rsid w:val="00DA0917"/>
    <w:rsid w:val="00DA6CAA"/>
    <w:rsid w:val="00DA7348"/>
    <w:rsid w:val="00DB429F"/>
    <w:rsid w:val="00DB453F"/>
    <w:rsid w:val="00DB4D60"/>
    <w:rsid w:val="00DC75B9"/>
    <w:rsid w:val="00DD01E9"/>
    <w:rsid w:val="00DD4288"/>
    <w:rsid w:val="00DD56B8"/>
    <w:rsid w:val="00DE0BE6"/>
    <w:rsid w:val="00DE1AB9"/>
    <w:rsid w:val="00DE3443"/>
    <w:rsid w:val="00E024DA"/>
    <w:rsid w:val="00E03967"/>
    <w:rsid w:val="00E06EE7"/>
    <w:rsid w:val="00E1507D"/>
    <w:rsid w:val="00E16B10"/>
    <w:rsid w:val="00E305D4"/>
    <w:rsid w:val="00E35840"/>
    <w:rsid w:val="00E35D8A"/>
    <w:rsid w:val="00E43DFC"/>
    <w:rsid w:val="00E4432B"/>
    <w:rsid w:val="00E46127"/>
    <w:rsid w:val="00E46427"/>
    <w:rsid w:val="00E5082B"/>
    <w:rsid w:val="00E54D17"/>
    <w:rsid w:val="00E809A1"/>
    <w:rsid w:val="00E86A1C"/>
    <w:rsid w:val="00EC0279"/>
    <w:rsid w:val="00EC2CEB"/>
    <w:rsid w:val="00EC39DD"/>
    <w:rsid w:val="00EC51CC"/>
    <w:rsid w:val="00ED2AD3"/>
    <w:rsid w:val="00ED7F6F"/>
    <w:rsid w:val="00EE2F93"/>
    <w:rsid w:val="00EE331D"/>
    <w:rsid w:val="00EF10EA"/>
    <w:rsid w:val="00F00844"/>
    <w:rsid w:val="00F00C17"/>
    <w:rsid w:val="00F048BC"/>
    <w:rsid w:val="00F04CE5"/>
    <w:rsid w:val="00F05FAE"/>
    <w:rsid w:val="00F065EC"/>
    <w:rsid w:val="00F13FF9"/>
    <w:rsid w:val="00F200BB"/>
    <w:rsid w:val="00F24918"/>
    <w:rsid w:val="00F2663D"/>
    <w:rsid w:val="00F37555"/>
    <w:rsid w:val="00F43FF6"/>
    <w:rsid w:val="00F546FA"/>
    <w:rsid w:val="00F54EB9"/>
    <w:rsid w:val="00F6461F"/>
    <w:rsid w:val="00F90EFA"/>
    <w:rsid w:val="00F95829"/>
    <w:rsid w:val="00FA08DC"/>
    <w:rsid w:val="00FA2229"/>
    <w:rsid w:val="00FB337E"/>
    <w:rsid w:val="00FB6914"/>
    <w:rsid w:val="00FC186D"/>
    <w:rsid w:val="00FE662F"/>
    <w:rsid w:val="00FF534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8E8E7"/>
  <w15:docId w15:val="{51B864E1-44F0-4BDC-8C9F-F172680A7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48"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4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iPriority="98"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1"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8"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0" w:qFormat="1"/>
    <w:lsdException w:name="Subtle Reference" w:uiPriority="40" w:qFormat="1"/>
    <w:lsdException w:name="Intense Reference" w:uiPriority="41" w:qFormat="1"/>
    <w:lsdException w:name="Book Title" w:uiPriority="42" w:qFormat="1"/>
    <w:lsdException w:name="Bibliography" w:semiHidden="1" w:uiPriority="46"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8"/>
    <w:qFormat/>
    <w:rsid w:val="00BE2177"/>
    <w:pPr>
      <w:spacing w:after="0" w:line="240" w:lineRule="auto"/>
    </w:pPr>
    <w:rPr>
      <w:rFonts w:ascii="Times New Roman" w:eastAsia="MS Mincho" w:hAnsi="Times New Roman" w:cs="Times New Roman"/>
      <w:lang w:val="de-DE"/>
    </w:rPr>
  </w:style>
  <w:style w:type="paragraph" w:styleId="Heading1">
    <w:name w:val="heading 1"/>
    <w:basedOn w:val="Normal"/>
    <w:next w:val="Heading2"/>
    <w:link w:val="Heading1Char"/>
    <w:qFormat/>
    <w:rsid w:val="00BE2177"/>
    <w:pPr>
      <w:keepNext/>
      <w:keepLines/>
      <w:widowControl w:val="0"/>
      <w:numPr>
        <w:numId w:val="3"/>
      </w:numPr>
      <w:spacing w:before="360" w:after="180"/>
      <w:outlineLvl w:val="0"/>
    </w:pPr>
    <w:rPr>
      <w:b/>
      <w:bCs/>
      <w:sz w:val="26"/>
    </w:rPr>
  </w:style>
  <w:style w:type="paragraph" w:styleId="Heading2">
    <w:name w:val="heading 2"/>
    <w:basedOn w:val="Normal"/>
    <w:next w:val="wText1"/>
    <w:link w:val="Heading2Char"/>
    <w:qFormat/>
    <w:rsid w:val="00BE2177"/>
    <w:pPr>
      <w:keepNext/>
      <w:numPr>
        <w:ilvl w:val="1"/>
        <w:numId w:val="3"/>
      </w:numPr>
      <w:spacing w:after="180"/>
      <w:jc w:val="both"/>
      <w:outlineLvl w:val="1"/>
    </w:pPr>
    <w:rPr>
      <w:b/>
      <w:bCs/>
    </w:rPr>
  </w:style>
  <w:style w:type="paragraph" w:styleId="Heading3">
    <w:name w:val="heading 3"/>
    <w:basedOn w:val="Normal"/>
    <w:link w:val="Heading3Char"/>
    <w:qFormat/>
    <w:rsid w:val="00BE2177"/>
    <w:pPr>
      <w:numPr>
        <w:ilvl w:val="2"/>
        <w:numId w:val="3"/>
      </w:numPr>
      <w:spacing w:after="180"/>
      <w:jc w:val="both"/>
      <w:outlineLvl w:val="2"/>
    </w:pPr>
  </w:style>
  <w:style w:type="paragraph" w:styleId="Heading4">
    <w:name w:val="heading 4"/>
    <w:basedOn w:val="Normal"/>
    <w:link w:val="Heading4Char"/>
    <w:qFormat/>
    <w:rsid w:val="00BE2177"/>
    <w:pPr>
      <w:numPr>
        <w:ilvl w:val="3"/>
        <w:numId w:val="3"/>
      </w:numPr>
      <w:spacing w:after="180"/>
      <w:jc w:val="both"/>
      <w:outlineLvl w:val="3"/>
    </w:pPr>
  </w:style>
  <w:style w:type="paragraph" w:styleId="Heading5">
    <w:name w:val="heading 5"/>
    <w:basedOn w:val="Normal"/>
    <w:link w:val="Heading5Char"/>
    <w:qFormat/>
    <w:rsid w:val="00BE2177"/>
    <w:pPr>
      <w:numPr>
        <w:ilvl w:val="4"/>
        <w:numId w:val="3"/>
      </w:numPr>
      <w:spacing w:after="180"/>
      <w:jc w:val="both"/>
      <w:outlineLvl w:val="4"/>
    </w:pPr>
  </w:style>
  <w:style w:type="paragraph" w:styleId="Heading6">
    <w:name w:val="heading 6"/>
    <w:basedOn w:val="Normal"/>
    <w:link w:val="Heading6Char"/>
    <w:qFormat/>
    <w:rsid w:val="00BE2177"/>
    <w:pPr>
      <w:numPr>
        <w:ilvl w:val="5"/>
        <w:numId w:val="3"/>
      </w:numPr>
      <w:spacing w:after="180"/>
      <w:jc w:val="both"/>
      <w:outlineLvl w:val="5"/>
    </w:pPr>
  </w:style>
  <w:style w:type="paragraph" w:styleId="Heading7">
    <w:name w:val="heading 7"/>
    <w:basedOn w:val="Normal"/>
    <w:link w:val="Heading7Char"/>
    <w:qFormat/>
    <w:rsid w:val="00BE2177"/>
    <w:pPr>
      <w:numPr>
        <w:ilvl w:val="6"/>
        <w:numId w:val="3"/>
      </w:numPr>
      <w:spacing w:after="180"/>
      <w:jc w:val="both"/>
      <w:outlineLvl w:val="6"/>
    </w:pPr>
  </w:style>
  <w:style w:type="paragraph" w:styleId="Heading8">
    <w:name w:val="heading 8"/>
    <w:basedOn w:val="Normal"/>
    <w:next w:val="Normal"/>
    <w:link w:val="Heading8Char"/>
    <w:qFormat/>
    <w:rsid w:val="00BE2177"/>
    <w:pPr>
      <w:numPr>
        <w:ilvl w:val="7"/>
        <w:numId w:val="3"/>
      </w:numPr>
      <w:spacing w:after="180"/>
      <w:jc w:val="both"/>
      <w:outlineLvl w:val="7"/>
    </w:pPr>
    <w:rPr>
      <w:color w:val="000000" w:themeColor="text1"/>
    </w:rPr>
  </w:style>
  <w:style w:type="paragraph" w:styleId="Heading9">
    <w:name w:val="heading 9"/>
    <w:basedOn w:val="Normal"/>
    <w:next w:val="wText"/>
    <w:link w:val="Heading9Char"/>
    <w:qFormat/>
    <w:rsid w:val="00BE2177"/>
    <w:pPr>
      <w:numPr>
        <w:ilvl w:val="8"/>
        <w:numId w:val="3"/>
      </w:numPr>
      <w:spacing w:after="18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49"/>
    <w:qFormat/>
    <w:rsid w:val="00BE2177"/>
    <w:pPr>
      <w:spacing w:after="0" w:line="240" w:lineRule="auto"/>
    </w:pPr>
    <w:rPr>
      <w:rFonts w:eastAsia="Times New Roman"/>
      <w:lang w:eastAsia="ja-JP"/>
    </w:rPr>
  </w:style>
  <w:style w:type="paragraph" w:customStyle="1" w:styleId="wText">
    <w:name w:val="wText"/>
    <w:basedOn w:val="Normal"/>
    <w:link w:val="wTextChar"/>
    <w:uiPriority w:val="2"/>
    <w:qFormat/>
    <w:rsid w:val="00BE2177"/>
    <w:pPr>
      <w:spacing w:after="180"/>
      <w:jc w:val="both"/>
    </w:pPr>
  </w:style>
  <w:style w:type="paragraph" w:customStyle="1" w:styleId="wText1">
    <w:name w:val="wText1"/>
    <w:basedOn w:val="Normal"/>
    <w:uiPriority w:val="4"/>
    <w:qFormat/>
    <w:rsid w:val="00BE2177"/>
    <w:pPr>
      <w:spacing w:after="180"/>
      <w:ind w:left="720"/>
      <w:jc w:val="both"/>
    </w:pPr>
  </w:style>
  <w:style w:type="paragraph" w:customStyle="1" w:styleId="wText2">
    <w:name w:val="wText2"/>
    <w:basedOn w:val="Normal"/>
    <w:uiPriority w:val="1"/>
    <w:qFormat/>
    <w:rsid w:val="00BE2177"/>
    <w:pPr>
      <w:spacing w:after="180"/>
      <w:ind w:left="1440"/>
      <w:jc w:val="both"/>
    </w:pPr>
  </w:style>
  <w:style w:type="paragraph" w:customStyle="1" w:styleId="Text2">
    <w:name w:val="Text 2"/>
    <w:basedOn w:val="Normal"/>
    <w:semiHidden/>
    <w:rsid w:val="00BE2177"/>
    <w:pPr>
      <w:overflowPunct w:val="0"/>
      <w:autoSpaceDE w:val="0"/>
      <w:autoSpaceDN w:val="0"/>
      <w:adjustRightInd w:val="0"/>
      <w:spacing w:after="240"/>
      <w:ind w:left="709"/>
      <w:jc w:val="both"/>
      <w:textAlignment w:val="baseline"/>
    </w:pPr>
    <w:rPr>
      <w:rFonts w:eastAsia="Times New Roman"/>
      <w:szCs w:val="20"/>
      <w:lang w:val="fr-FR"/>
    </w:rPr>
  </w:style>
  <w:style w:type="paragraph" w:customStyle="1" w:styleId="wCenter">
    <w:name w:val="wCenter"/>
    <w:basedOn w:val="Normal"/>
    <w:uiPriority w:val="5"/>
    <w:qFormat/>
    <w:rsid w:val="00BE2177"/>
    <w:pPr>
      <w:spacing w:after="180"/>
      <w:jc w:val="center"/>
    </w:pPr>
  </w:style>
  <w:style w:type="paragraph" w:customStyle="1" w:styleId="wCenterB">
    <w:name w:val="wCenterB"/>
    <w:basedOn w:val="Normal"/>
    <w:uiPriority w:val="6"/>
    <w:qFormat/>
    <w:rsid w:val="00BE2177"/>
    <w:pPr>
      <w:spacing w:after="180"/>
      <w:jc w:val="center"/>
    </w:pPr>
    <w:rPr>
      <w:b/>
    </w:rPr>
  </w:style>
  <w:style w:type="paragraph" w:customStyle="1" w:styleId="wLeftB">
    <w:name w:val="wLeftB"/>
    <w:basedOn w:val="Normal"/>
    <w:uiPriority w:val="10"/>
    <w:qFormat/>
    <w:rsid w:val="00BE2177"/>
    <w:pPr>
      <w:keepNext/>
      <w:spacing w:after="180"/>
    </w:pPr>
    <w:rPr>
      <w:b/>
    </w:rPr>
  </w:style>
  <w:style w:type="paragraph" w:customStyle="1" w:styleId="wLeftI">
    <w:name w:val="wLeftI"/>
    <w:basedOn w:val="Normal"/>
    <w:uiPriority w:val="10"/>
    <w:qFormat/>
    <w:rsid w:val="00BE2177"/>
    <w:pPr>
      <w:spacing w:after="180"/>
    </w:pPr>
    <w:rPr>
      <w:i/>
    </w:rPr>
  </w:style>
  <w:style w:type="character" w:customStyle="1" w:styleId="Heading1Char">
    <w:name w:val="Heading 1 Char"/>
    <w:basedOn w:val="DefaultParagraphFont"/>
    <w:link w:val="Heading1"/>
    <w:rsid w:val="00BE2177"/>
    <w:rPr>
      <w:rFonts w:ascii="Times New Roman" w:eastAsia="MS Mincho" w:hAnsi="Times New Roman" w:cs="Times New Roman"/>
      <w:b/>
      <w:bCs/>
      <w:sz w:val="26"/>
      <w:lang w:val="de-DE"/>
    </w:rPr>
  </w:style>
  <w:style w:type="character" w:customStyle="1" w:styleId="Heading2Char">
    <w:name w:val="Heading 2 Char"/>
    <w:basedOn w:val="DefaultParagraphFont"/>
    <w:link w:val="Heading2"/>
    <w:rsid w:val="00BE2177"/>
    <w:rPr>
      <w:rFonts w:ascii="Times New Roman" w:eastAsia="MS Mincho" w:hAnsi="Times New Roman" w:cs="Times New Roman"/>
      <w:b/>
      <w:bCs/>
      <w:lang w:val="de-DE"/>
    </w:rPr>
  </w:style>
  <w:style w:type="character" w:customStyle="1" w:styleId="Heading3Char">
    <w:name w:val="Heading 3 Char"/>
    <w:basedOn w:val="DefaultParagraphFont"/>
    <w:link w:val="Heading3"/>
    <w:rsid w:val="00BE2177"/>
    <w:rPr>
      <w:rFonts w:ascii="Times New Roman" w:eastAsia="MS Mincho" w:hAnsi="Times New Roman" w:cs="Times New Roman"/>
      <w:lang w:val="de-DE"/>
    </w:rPr>
  </w:style>
  <w:style w:type="character" w:customStyle="1" w:styleId="Heading4Char">
    <w:name w:val="Heading 4 Char"/>
    <w:basedOn w:val="DefaultParagraphFont"/>
    <w:link w:val="Heading4"/>
    <w:rsid w:val="00BE2177"/>
    <w:rPr>
      <w:rFonts w:ascii="Times New Roman" w:eastAsia="MS Mincho" w:hAnsi="Times New Roman" w:cs="Times New Roman"/>
      <w:lang w:val="de-DE"/>
    </w:rPr>
  </w:style>
  <w:style w:type="character" w:customStyle="1" w:styleId="Heading5Char">
    <w:name w:val="Heading 5 Char"/>
    <w:basedOn w:val="DefaultParagraphFont"/>
    <w:link w:val="Heading5"/>
    <w:rsid w:val="00BE2177"/>
    <w:rPr>
      <w:rFonts w:ascii="Times New Roman" w:eastAsia="MS Mincho" w:hAnsi="Times New Roman" w:cs="Times New Roman"/>
      <w:lang w:val="de-DE"/>
    </w:rPr>
  </w:style>
  <w:style w:type="character" w:customStyle="1" w:styleId="Heading6Char">
    <w:name w:val="Heading 6 Char"/>
    <w:basedOn w:val="DefaultParagraphFont"/>
    <w:link w:val="Heading6"/>
    <w:rsid w:val="00BE2177"/>
    <w:rPr>
      <w:rFonts w:ascii="Times New Roman" w:eastAsia="MS Mincho" w:hAnsi="Times New Roman" w:cs="Times New Roman"/>
      <w:lang w:val="de-DE"/>
    </w:rPr>
  </w:style>
  <w:style w:type="character" w:customStyle="1" w:styleId="Heading7Char">
    <w:name w:val="Heading 7 Char"/>
    <w:basedOn w:val="DefaultParagraphFont"/>
    <w:link w:val="Heading7"/>
    <w:rsid w:val="00BE2177"/>
    <w:rPr>
      <w:rFonts w:ascii="Times New Roman" w:eastAsia="MS Mincho" w:hAnsi="Times New Roman" w:cs="Times New Roman"/>
      <w:lang w:val="de-DE"/>
    </w:rPr>
  </w:style>
  <w:style w:type="character" w:customStyle="1" w:styleId="Heading8Char">
    <w:name w:val="Heading 8 Char"/>
    <w:basedOn w:val="DefaultParagraphFont"/>
    <w:link w:val="Heading8"/>
    <w:rsid w:val="00BE2177"/>
    <w:rPr>
      <w:rFonts w:ascii="Times New Roman" w:eastAsia="MS Mincho" w:hAnsi="Times New Roman" w:cs="Times New Roman"/>
      <w:color w:val="000000" w:themeColor="text1"/>
      <w:lang w:val="de-DE"/>
    </w:rPr>
  </w:style>
  <w:style w:type="character" w:customStyle="1" w:styleId="Heading9Char">
    <w:name w:val="Heading 9 Char"/>
    <w:basedOn w:val="DefaultParagraphFont"/>
    <w:link w:val="Heading9"/>
    <w:rsid w:val="00BE2177"/>
    <w:rPr>
      <w:rFonts w:ascii="Times New Roman" w:eastAsia="MS Mincho" w:hAnsi="Times New Roman" w:cs="Times New Roman"/>
      <w:lang w:val="de-DE"/>
    </w:rPr>
  </w:style>
  <w:style w:type="paragraph" w:styleId="Title">
    <w:name w:val="Title"/>
    <w:basedOn w:val="Normal"/>
    <w:next w:val="Normal"/>
    <w:link w:val="TitleChar"/>
    <w:uiPriority w:val="49"/>
    <w:qFormat/>
    <w:rsid w:val="00BE2177"/>
    <w:pPr>
      <w:pBdr>
        <w:bottom w:val="single" w:sz="8" w:space="4" w:color="00A5D9" w:themeColor="accent1"/>
      </w:pBdr>
      <w:spacing w:after="240"/>
      <w:contextualSpacing/>
      <w:jc w:val="center"/>
    </w:pPr>
    <w:rPr>
      <w:rFonts w:eastAsia="Times New Roman"/>
      <w:b/>
      <w:color w:val="000000" w:themeColor="text1"/>
      <w:spacing w:val="5"/>
      <w:kern w:val="28"/>
      <w:szCs w:val="52"/>
    </w:rPr>
  </w:style>
  <w:style w:type="character" w:customStyle="1" w:styleId="TitleChar">
    <w:name w:val="Title Char"/>
    <w:basedOn w:val="DefaultParagraphFont"/>
    <w:link w:val="Title"/>
    <w:uiPriority w:val="49"/>
    <w:rsid w:val="00BE2177"/>
    <w:rPr>
      <w:rFonts w:ascii="Times New Roman" w:eastAsia="Times New Roman" w:hAnsi="Times New Roman" w:cs="Times New Roman"/>
      <w:b/>
      <w:color w:val="000000" w:themeColor="text1"/>
      <w:spacing w:val="5"/>
      <w:kern w:val="28"/>
      <w:szCs w:val="52"/>
    </w:rPr>
  </w:style>
  <w:style w:type="paragraph" w:styleId="Subtitle">
    <w:name w:val="Subtitle"/>
    <w:basedOn w:val="Normal"/>
    <w:next w:val="Normal"/>
    <w:link w:val="SubtitleChar"/>
    <w:uiPriority w:val="49"/>
    <w:qFormat/>
    <w:rsid w:val="00BE2177"/>
    <w:pPr>
      <w:numPr>
        <w:ilvl w:val="1"/>
      </w:numPr>
      <w:spacing w:after="240"/>
      <w:jc w:val="center"/>
    </w:pPr>
    <w:rPr>
      <w:rFonts w:eastAsia="Times New Roman"/>
      <w:i/>
      <w:iCs/>
      <w:color w:val="000000" w:themeColor="text1"/>
      <w:spacing w:val="15"/>
      <w:szCs w:val="24"/>
    </w:rPr>
  </w:style>
  <w:style w:type="character" w:customStyle="1" w:styleId="SubtitleChar">
    <w:name w:val="Subtitle Char"/>
    <w:basedOn w:val="DefaultParagraphFont"/>
    <w:link w:val="Subtitle"/>
    <w:uiPriority w:val="49"/>
    <w:rsid w:val="00BE2177"/>
    <w:rPr>
      <w:rFonts w:ascii="Times New Roman" w:eastAsia="Times New Roman" w:hAnsi="Times New Roman" w:cs="Times New Roman"/>
      <w:i/>
      <w:iCs/>
      <w:color w:val="000000" w:themeColor="text1"/>
      <w:spacing w:val="15"/>
      <w:szCs w:val="24"/>
    </w:rPr>
  </w:style>
  <w:style w:type="character" w:customStyle="1" w:styleId="NoSpacingChar">
    <w:name w:val="No Spacing Char"/>
    <w:basedOn w:val="DefaultParagraphFont"/>
    <w:link w:val="NoSpacing"/>
    <w:uiPriority w:val="49"/>
    <w:rsid w:val="00BE2177"/>
    <w:rPr>
      <w:rFonts w:eastAsia="Times New Roman"/>
      <w:lang w:eastAsia="ja-JP"/>
    </w:rPr>
  </w:style>
  <w:style w:type="paragraph" w:styleId="BalloonText">
    <w:name w:val="Balloon Text"/>
    <w:basedOn w:val="Normal"/>
    <w:link w:val="BalloonTextChar"/>
    <w:uiPriority w:val="99"/>
    <w:semiHidden/>
    <w:unhideWhenUsed/>
    <w:rsid w:val="00BE2177"/>
    <w:rPr>
      <w:rFonts w:ascii="Tahoma" w:hAnsi="Tahoma" w:cs="Tahoma"/>
      <w:sz w:val="16"/>
      <w:szCs w:val="16"/>
    </w:rPr>
  </w:style>
  <w:style w:type="character" w:customStyle="1" w:styleId="BalloonTextChar">
    <w:name w:val="Balloon Text Char"/>
    <w:basedOn w:val="DefaultParagraphFont"/>
    <w:link w:val="BalloonText"/>
    <w:uiPriority w:val="99"/>
    <w:semiHidden/>
    <w:rsid w:val="00BE2177"/>
    <w:rPr>
      <w:rFonts w:ascii="Tahoma" w:eastAsia="MS Mincho" w:hAnsi="Tahoma" w:cs="Tahoma"/>
      <w:sz w:val="16"/>
      <w:szCs w:val="16"/>
    </w:rPr>
  </w:style>
  <w:style w:type="paragraph" w:styleId="Header">
    <w:name w:val="header"/>
    <w:basedOn w:val="Normal"/>
    <w:link w:val="HeaderChar"/>
    <w:uiPriority w:val="99"/>
    <w:rsid w:val="00BE2177"/>
    <w:pPr>
      <w:jc w:val="both"/>
    </w:pPr>
    <w:rPr>
      <w:rFonts w:eastAsia="Times New Roman"/>
      <w:szCs w:val="20"/>
      <w:lang w:eastAsia="de-DE"/>
    </w:rPr>
  </w:style>
  <w:style w:type="character" w:customStyle="1" w:styleId="HeaderChar">
    <w:name w:val="Header Char"/>
    <w:basedOn w:val="DefaultParagraphFont"/>
    <w:link w:val="Header"/>
    <w:uiPriority w:val="99"/>
    <w:rsid w:val="00BE2177"/>
    <w:rPr>
      <w:rFonts w:ascii="Times New Roman" w:eastAsia="Times New Roman" w:hAnsi="Times New Roman" w:cs="Times New Roman"/>
      <w:szCs w:val="20"/>
      <w:lang w:val="de-DE" w:eastAsia="de-DE"/>
    </w:rPr>
  </w:style>
  <w:style w:type="paragraph" w:styleId="Footer">
    <w:name w:val="footer"/>
    <w:basedOn w:val="Normal"/>
    <w:link w:val="FooterChar"/>
    <w:uiPriority w:val="99"/>
    <w:rsid w:val="00BE2177"/>
    <w:pPr>
      <w:tabs>
        <w:tab w:val="center" w:pos="4536"/>
        <w:tab w:val="right" w:pos="9072"/>
      </w:tabs>
    </w:pPr>
    <w:rPr>
      <w:rFonts w:eastAsia="Times New Roman"/>
      <w:sz w:val="16"/>
      <w:szCs w:val="20"/>
      <w:lang w:eastAsia="de-DE"/>
    </w:rPr>
  </w:style>
  <w:style w:type="character" w:customStyle="1" w:styleId="FooterChar">
    <w:name w:val="Footer Char"/>
    <w:basedOn w:val="DefaultParagraphFont"/>
    <w:link w:val="Footer"/>
    <w:uiPriority w:val="99"/>
    <w:rsid w:val="00BE2177"/>
    <w:rPr>
      <w:rFonts w:ascii="Times New Roman" w:eastAsia="Times New Roman" w:hAnsi="Times New Roman" w:cs="Times New Roman"/>
      <w:sz w:val="16"/>
      <w:szCs w:val="20"/>
      <w:lang w:val="de-DE" w:eastAsia="de-DE"/>
    </w:rPr>
  </w:style>
  <w:style w:type="paragraph" w:customStyle="1" w:styleId="WCPageNumber">
    <w:name w:val="WCPageNumber"/>
    <w:link w:val="WCPageNumberChar"/>
    <w:uiPriority w:val="99"/>
    <w:rsid w:val="00BE2177"/>
    <w:pPr>
      <w:spacing w:after="0" w:line="240" w:lineRule="auto"/>
      <w:jc w:val="center"/>
    </w:pPr>
    <w:rPr>
      <w:rFonts w:ascii="Times New Roman" w:hAnsi="Times New Roman" w:cs="Times New Roman"/>
    </w:rPr>
  </w:style>
  <w:style w:type="character" w:customStyle="1" w:styleId="WCPageNumberChar">
    <w:name w:val="WCPageNumber Char"/>
    <w:basedOn w:val="DefaultParagraphFont"/>
    <w:link w:val="WCPageNumber"/>
    <w:uiPriority w:val="99"/>
    <w:rsid w:val="00BE2177"/>
    <w:rPr>
      <w:rFonts w:ascii="Times New Roman" w:hAnsi="Times New Roman" w:cs="Times New Roman"/>
    </w:rPr>
  </w:style>
  <w:style w:type="paragraph" w:customStyle="1" w:styleId="wQuote1">
    <w:name w:val="wQuote1"/>
    <w:basedOn w:val="Normal"/>
    <w:uiPriority w:val="4"/>
    <w:qFormat/>
    <w:rsid w:val="00BE2177"/>
    <w:pPr>
      <w:spacing w:after="180"/>
      <w:ind w:left="720"/>
      <w:jc w:val="both"/>
    </w:pPr>
    <w:rPr>
      <w:i/>
    </w:rPr>
  </w:style>
  <w:style w:type="paragraph" w:customStyle="1" w:styleId="wQuote2">
    <w:name w:val="wQuote2"/>
    <w:basedOn w:val="Normal"/>
    <w:uiPriority w:val="4"/>
    <w:qFormat/>
    <w:rsid w:val="00BE2177"/>
    <w:pPr>
      <w:spacing w:after="180"/>
      <w:ind w:left="1440"/>
      <w:jc w:val="both"/>
    </w:pPr>
    <w:rPr>
      <w:i/>
    </w:rPr>
  </w:style>
  <w:style w:type="paragraph" w:customStyle="1" w:styleId="wQuote3">
    <w:name w:val="wQuote3"/>
    <w:basedOn w:val="Normal"/>
    <w:uiPriority w:val="4"/>
    <w:qFormat/>
    <w:rsid w:val="00BE2177"/>
    <w:pPr>
      <w:spacing w:after="180"/>
      <w:ind w:left="2160"/>
      <w:jc w:val="both"/>
    </w:pPr>
    <w:rPr>
      <w:i/>
    </w:rPr>
  </w:style>
  <w:style w:type="paragraph" w:customStyle="1" w:styleId="wText3">
    <w:name w:val="wText3"/>
    <w:basedOn w:val="Normal"/>
    <w:uiPriority w:val="1"/>
    <w:qFormat/>
    <w:rsid w:val="00BE2177"/>
    <w:pPr>
      <w:spacing w:after="180"/>
      <w:ind w:left="2160"/>
      <w:jc w:val="both"/>
    </w:pPr>
  </w:style>
  <w:style w:type="paragraph" w:customStyle="1" w:styleId="wBullet">
    <w:name w:val="wBullet"/>
    <w:basedOn w:val="Normal"/>
    <w:uiPriority w:val="8"/>
    <w:qFormat/>
    <w:rsid w:val="002E0AF8"/>
    <w:pPr>
      <w:numPr>
        <w:numId w:val="5"/>
      </w:numPr>
      <w:spacing w:after="180"/>
      <w:ind w:hanging="720"/>
      <w:jc w:val="both"/>
    </w:pPr>
  </w:style>
  <w:style w:type="paragraph" w:customStyle="1" w:styleId="wBullet1">
    <w:name w:val="wBullet1"/>
    <w:basedOn w:val="Normal"/>
    <w:uiPriority w:val="8"/>
    <w:qFormat/>
    <w:rsid w:val="0079374D"/>
    <w:pPr>
      <w:numPr>
        <w:numId w:val="6"/>
      </w:numPr>
      <w:spacing w:after="180"/>
      <w:ind w:left="1440" w:hanging="720"/>
      <w:jc w:val="both"/>
    </w:pPr>
  </w:style>
  <w:style w:type="paragraph" w:customStyle="1" w:styleId="wBullet2">
    <w:name w:val="wBullet2"/>
    <w:basedOn w:val="Normal"/>
    <w:uiPriority w:val="8"/>
    <w:qFormat/>
    <w:rsid w:val="0079374D"/>
    <w:pPr>
      <w:numPr>
        <w:numId w:val="7"/>
      </w:numPr>
      <w:spacing w:after="180"/>
      <w:ind w:left="2160" w:hanging="720"/>
      <w:jc w:val="both"/>
    </w:pPr>
  </w:style>
  <w:style w:type="paragraph" w:customStyle="1" w:styleId="wBullet3">
    <w:name w:val="wBullet3"/>
    <w:basedOn w:val="Normal"/>
    <w:uiPriority w:val="8"/>
    <w:qFormat/>
    <w:rsid w:val="0079374D"/>
    <w:pPr>
      <w:numPr>
        <w:numId w:val="8"/>
      </w:numPr>
      <w:spacing w:after="180"/>
      <w:ind w:left="2880" w:hanging="720"/>
      <w:jc w:val="both"/>
    </w:pPr>
  </w:style>
  <w:style w:type="paragraph" w:customStyle="1" w:styleId="DraftLineWC">
    <w:name w:val="DraftLineW&amp;C"/>
    <w:basedOn w:val="Normal"/>
    <w:uiPriority w:val="99"/>
    <w:semiHidden/>
    <w:rsid w:val="00BE2177"/>
    <w:pPr>
      <w:framePr w:w="5328" w:hSpace="187" w:vSpace="187" w:wrap="around" w:vAnchor="page" w:hAnchor="page" w:x="5761" w:y="721"/>
      <w:jc w:val="right"/>
    </w:pPr>
    <w:rPr>
      <w:rFonts w:eastAsia="Times New Roman"/>
      <w:sz w:val="20"/>
      <w:szCs w:val="24"/>
    </w:rPr>
  </w:style>
  <w:style w:type="paragraph" w:styleId="TOC1">
    <w:name w:val="toc 1"/>
    <w:basedOn w:val="Normal"/>
    <w:next w:val="Normal"/>
    <w:autoRedefine/>
    <w:uiPriority w:val="39"/>
    <w:rsid w:val="00BE2177"/>
    <w:pPr>
      <w:tabs>
        <w:tab w:val="left" w:pos="720"/>
        <w:tab w:val="right" w:leader="dot" w:pos="9072"/>
      </w:tabs>
      <w:spacing w:before="120"/>
      <w:ind w:left="720" w:right="386" w:hanging="720"/>
    </w:pPr>
  </w:style>
  <w:style w:type="paragraph" w:styleId="TOC2">
    <w:name w:val="toc 2"/>
    <w:basedOn w:val="Normal"/>
    <w:next w:val="Normal"/>
    <w:autoRedefine/>
    <w:uiPriority w:val="39"/>
    <w:rsid w:val="00BE2177"/>
    <w:pPr>
      <w:tabs>
        <w:tab w:val="left" w:pos="720"/>
        <w:tab w:val="right" w:leader="dot" w:pos="9072"/>
      </w:tabs>
      <w:snapToGrid w:val="0"/>
      <w:ind w:left="720" w:right="386" w:hanging="720"/>
      <w:contextualSpacing/>
    </w:pPr>
  </w:style>
  <w:style w:type="paragraph" w:customStyle="1" w:styleId="Definition1">
    <w:name w:val="Definition 1"/>
    <w:basedOn w:val="Normal"/>
    <w:uiPriority w:val="2"/>
    <w:qFormat/>
    <w:rsid w:val="00BE2177"/>
    <w:pPr>
      <w:numPr>
        <w:numId w:val="4"/>
      </w:numPr>
      <w:spacing w:after="180"/>
      <w:jc w:val="both"/>
    </w:pPr>
  </w:style>
  <w:style w:type="paragraph" w:customStyle="1" w:styleId="Definition2">
    <w:name w:val="Definition 2"/>
    <w:basedOn w:val="Normal"/>
    <w:uiPriority w:val="2"/>
    <w:qFormat/>
    <w:rsid w:val="00BE2177"/>
    <w:pPr>
      <w:numPr>
        <w:ilvl w:val="1"/>
        <w:numId w:val="4"/>
      </w:numPr>
      <w:spacing w:after="180"/>
      <w:jc w:val="both"/>
    </w:pPr>
  </w:style>
  <w:style w:type="paragraph" w:customStyle="1" w:styleId="Definition3">
    <w:name w:val="Definition 3"/>
    <w:basedOn w:val="Normal"/>
    <w:uiPriority w:val="2"/>
    <w:qFormat/>
    <w:rsid w:val="00BE2177"/>
    <w:pPr>
      <w:numPr>
        <w:ilvl w:val="2"/>
        <w:numId w:val="4"/>
      </w:numPr>
      <w:spacing w:after="180"/>
      <w:jc w:val="both"/>
    </w:pPr>
  </w:style>
  <w:style w:type="paragraph" w:customStyle="1" w:styleId="Definition4">
    <w:name w:val="Definition 4"/>
    <w:basedOn w:val="Normal"/>
    <w:uiPriority w:val="2"/>
    <w:qFormat/>
    <w:rsid w:val="00BE2177"/>
    <w:pPr>
      <w:numPr>
        <w:ilvl w:val="3"/>
        <w:numId w:val="4"/>
      </w:numPr>
      <w:spacing w:after="180"/>
      <w:jc w:val="both"/>
    </w:pPr>
  </w:style>
  <w:style w:type="paragraph" w:customStyle="1" w:styleId="Definition5">
    <w:name w:val="Definition 5"/>
    <w:basedOn w:val="Normal"/>
    <w:uiPriority w:val="2"/>
    <w:qFormat/>
    <w:rsid w:val="00BE2177"/>
    <w:pPr>
      <w:numPr>
        <w:ilvl w:val="4"/>
        <w:numId w:val="4"/>
      </w:numPr>
      <w:spacing w:after="180"/>
      <w:jc w:val="both"/>
    </w:pPr>
  </w:style>
  <w:style w:type="paragraph" w:customStyle="1" w:styleId="Definition6">
    <w:name w:val="Definition 6"/>
    <w:basedOn w:val="Normal"/>
    <w:uiPriority w:val="2"/>
    <w:qFormat/>
    <w:rsid w:val="00BE2177"/>
    <w:pPr>
      <w:numPr>
        <w:ilvl w:val="5"/>
        <w:numId w:val="4"/>
      </w:numPr>
      <w:spacing w:after="180"/>
      <w:jc w:val="both"/>
    </w:pPr>
  </w:style>
  <w:style w:type="paragraph" w:customStyle="1" w:styleId="Parties">
    <w:name w:val="Parties"/>
    <w:basedOn w:val="Normal"/>
    <w:uiPriority w:val="2"/>
    <w:qFormat/>
    <w:rsid w:val="00BE2177"/>
    <w:pPr>
      <w:numPr>
        <w:ilvl w:val="7"/>
        <w:numId w:val="4"/>
      </w:numPr>
      <w:spacing w:after="180"/>
      <w:jc w:val="both"/>
    </w:pPr>
  </w:style>
  <w:style w:type="paragraph" w:customStyle="1" w:styleId="Recitals">
    <w:name w:val="Recitals"/>
    <w:basedOn w:val="Normal"/>
    <w:uiPriority w:val="2"/>
    <w:qFormat/>
    <w:rsid w:val="00BE2177"/>
    <w:pPr>
      <w:numPr>
        <w:ilvl w:val="8"/>
        <w:numId w:val="4"/>
      </w:numPr>
      <w:spacing w:after="180"/>
      <w:jc w:val="both"/>
    </w:pPr>
  </w:style>
  <w:style w:type="paragraph" w:customStyle="1" w:styleId="wCoverNotice">
    <w:name w:val="wCoverNotice"/>
    <w:basedOn w:val="Normal"/>
    <w:next w:val="Normal"/>
    <w:uiPriority w:val="19"/>
    <w:rsid w:val="00BE2177"/>
    <w:pPr>
      <w:spacing w:after="960"/>
      <w:ind w:left="720" w:right="720"/>
      <w:jc w:val="center"/>
    </w:pPr>
    <w:rPr>
      <w:rFonts w:eastAsia="Times New Roman"/>
      <w:szCs w:val="24"/>
    </w:rPr>
  </w:style>
  <w:style w:type="paragraph" w:customStyle="1" w:styleId="wCoverParties">
    <w:name w:val="wCoverParties"/>
    <w:basedOn w:val="Normal"/>
    <w:next w:val="wCoverRole"/>
    <w:uiPriority w:val="20"/>
    <w:qFormat/>
    <w:rsid w:val="00BE2177"/>
    <w:pPr>
      <w:jc w:val="center"/>
    </w:pPr>
    <w:rPr>
      <w:b/>
      <w:bCs/>
      <w:sz w:val="28"/>
      <w:szCs w:val="32"/>
    </w:rPr>
  </w:style>
  <w:style w:type="paragraph" w:customStyle="1" w:styleId="wSignRole">
    <w:name w:val="wSignRole"/>
    <w:basedOn w:val="Normal"/>
    <w:uiPriority w:val="12"/>
    <w:qFormat/>
    <w:rsid w:val="00BE2177"/>
    <w:pPr>
      <w:spacing w:before="600" w:after="60"/>
    </w:pPr>
    <w:rPr>
      <w:b/>
      <w:bCs/>
    </w:rPr>
  </w:style>
  <w:style w:type="paragraph" w:customStyle="1" w:styleId="wCoverCenter">
    <w:name w:val="wCoverCenter"/>
    <w:basedOn w:val="Normal"/>
    <w:next w:val="wCoverParties"/>
    <w:uiPriority w:val="19"/>
    <w:qFormat/>
    <w:rsid w:val="00BE2177"/>
    <w:pPr>
      <w:spacing w:after="480"/>
      <w:jc w:val="center"/>
    </w:pPr>
  </w:style>
  <w:style w:type="paragraph" w:customStyle="1" w:styleId="wCoverTitle2">
    <w:name w:val="wCoverTitle2"/>
    <w:basedOn w:val="Normal"/>
    <w:next w:val="wCoverCenter"/>
    <w:uiPriority w:val="19"/>
    <w:rsid w:val="00BE2177"/>
    <w:pPr>
      <w:spacing w:after="240"/>
      <w:jc w:val="center"/>
    </w:pPr>
    <w:rPr>
      <w:sz w:val="28"/>
      <w:szCs w:val="32"/>
    </w:rPr>
  </w:style>
  <w:style w:type="paragraph" w:customStyle="1" w:styleId="wLogoHeader">
    <w:name w:val="wLogoHeader"/>
    <w:basedOn w:val="Normal"/>
    <w:uiPriority w:val="48"/>
    <w:qFormat/>
    <w:rsid w:val="00BE2177"/>
    <w:pPr>
      <w:spacing w:before="360" w:after="960" w:line="360" w:lineRule="auto"/>
      <w:jc w:val="right"/>
    </w:pPr>
  </w:style>
  <w:style w:type="paragraph" w:customStyle="1" w:styleId="wCoverAddress">
    <w:name w:val="wCoverAddress"/>
    <w:basedOn w:val="Normal"/>
    <w:uiPriority w:val="22"/>
    <w:rsid w:val="00BE2177"/>
    <w:pPr>
      <w:jc w:val="center"/>
    </w:pPr>
    <w:rPr>
      <w:rFonts w:eastAsia="Times New Roman"/>
      <w:sz w:val="20"/>
      <w:szCs w:val="24"/>
    </w:rPr>
  </w:style>
  <w:style w:type="numbering" w:styleId="111111">
    <w:name w:val="Outline List 2"/>
    <w:basedOn w:val="NoList"/>
    <w:uiPriority w:val="99"/>
    <w:semiHidden/>
    <w:unhideWhenUsed/>
    <w:rsid w:val="00BE2177"/>
    <w:pPr>
      <w:numPr>
        <w:numId w:val="1"/>
      </w:numPr>
    </w:pPr>
  </w:style>
  <w:style w:type="numbering" w:styleId="1ai">
    <w:name w:val="Outline List 1"/>
    <w:basedOn w:val="NoList"/>
    <w:uiPriority w:val="99"/>
    <w:semiHidden/>
    <w:unhideWhenUsed/>
    <w:rsid w:val="00BE2177"/>
    <w:pPr>
      <w:numPr>
        <w:numId w:val="2"/>
      </w:numPr>
    </w:pPr>
  </w:style>
  <w:style w:type="paragraph" w:customStyle="1" w:styleId="wTOCtitle">
    <w:name w:val="wTOCtitle"/>
    <w:basedOn w:val="Normal"/>
    <w:next w:val="wTOCpage"/>
    <w:uiPriority w:val="13"/>
    <w:rsid w:val="00BE2177"/>
    <w:pPr>
      <w:jc w:val="center"/>
    </w:pPr>
    <w:rPr>
      <w:b/>
      <w:bCs/>
      <w:sz w:val="26"/>
      <w:szCs w:val="30"/>
    </w:rPr>
  </w:style>
  <w:style w:type="paragraph" w:customStyle="1" w:styleId="wTOCpage">
    <w:name w:val="wTOCpage"/>
    <w:basedOn w:val="Normal"/>
    <w:next w:val="Normal"/>
    <w:uiPriority w:val="15"/>
    <w:rsid w:val="00BE2177"/>
    <w:pPr>
      <w:spacing w:after="180"/>
      <w:jc w:val="right"/>
    </w:pPr>
    <w:rPr>
      <w:rFonts w:eastAsia="Times New Roman"/>
      <w:b/>
      <w:szCs w:val="21"/>
    </w:rPr>
  </w:style>
  <w:style w:type="paragraph" w:customStyle="1" w:styleId="wSignLine">
    <w:name w:val="wSignLine"/>
    <w:basedOn w:val="wText"/>
    <w:next w:val="Normal"/>
    <w:uiPriority w:val="13"/>
    <w:rsid w:val="00BE2177"/>
    <w:pPr>
      <w:tabs>
        <w:tab w:val="left" w:leader="dot" w:pos="3600"/>
      </w:tabs>
      <w:spacing w:before="800" w:after="0"/>
    </w:pPr>
    <w:rPr>
      <w:rFonts w:eastAsia="Times New Roman"/>
      <w:szCs w:val="20"/>
    </w:rPr>
  </w:style>
  <w:style w:type="paragraph" w:styleId="TOC3">
    <w:name w:val="toc 3"/>
    <w:basedOn w:val="Normal"/>
    <w:next w:val="Normal"/>
    <w:autoRedefine/>
    <w:uiPriority w:val="39"/>
    <w:rsid w:val="00BE2177"/>
    <w:pPr>
      <w:tabs>
        <w:tab w:val="left" w:pos="1440"/>
        <w:tab w:val="right" w:leader="dot" w:pos="9072"/>
      </w:tabs>
      <w:ind w:left="1440" w:right="386" w:hanging="720"/>
    </w:pPr>
    <w:rPr>
      <w:noProof/>
      <w:color w:val="000000" w:themeColor="text1"/>
    </w:rPr>
  </w:style>
  <w:style w:type="paragraph" w:styleId="TOC4">
    <w:name w:val="toc 4"/>
    <w:basedOn w:val="Normal"/>
    <w:next w:val="Normal"/>
    <w:autoRedefine/>
    <w:uiPriority w:val="39"/>
    <w:unhideWhenUsed/>
    <w:rsid w:val="00BE2177"/>
    <w:pPr>
      <w:tabs>
        <w:tab w:val="left" w:pos="1440"/>
        <w:tab w:val="right" w:leader="dot" w:pos="9080"/>
      </w:tabs>
      <w:ind w:left="1440" w:right="386" w:hanging="720"/>
    </w:pPr>
  </w:style>
  <w:style w:type="paragraph" w:styleId="TOC5">
    <w:name w:val="toc 5"/>
    <w:basedOn w:val="Normal"/>
    <w:next w:val="Normal"/>
    <w:autoRedefine/>
    <w:uiPriority w:val="39"/>
    <w:unhideWhenUsed/>
    <w:rsid w:val="00BE2177"/>
    <w:pPr>
      <w:spacing w:after="100"/>
      <w:ind w:left="960"/>
    </w:pPr>
  </w:style>
  <w:style w:type="paragraph" w:styleId="TOC6">
    <w:name w:val="toc 6"/>
    <w:basedOn w:val="Normal"/>
    <w:next w:val="Normal"/>
    <w:autoRedefine/>
    <w:uiPriority w:val="39"/>
    <w:unhideWhenUsed/>
    <w:rsid w:val="00BE2177"/>
    <w:pPr>
      <w:spacing w:after="100"/>
      <w:ind w:left="1200"/>
    </w:pPr>
  </w:style>
  <w:style w:type="paragraph" w:styleId="TOC7">
    <w:name w:val="toc 7"/>
    <w:basedOn w:val="Normal"/>
    <w:next w:val="Normal"/>
    <w:autoRedefine/>
    <w:uiPriority w:val="39"/>
    <w:semiHidden/>
    <w:unhideWhenUsed/>
    <w:rsid w:val="00BE2177"/>
    <w:pPr>
      <w:spacing w:after="100"/>
      <w:ind w:left="1440"/>
    </w:pPr>
  </w:style>
  <w:style w:type="paragraph" w:styleId="TOC8">
    <w:name w:val="toc 8"/>
    <w:basedOn w:val="Normal"/>
    <w:next w:val="Normal"/>
    <w:autoRedefine/>
    <w:uiPriority w:val="39"/>
    <w:rsid w:val="00BE2177"/>
    <w:pPr>
      <w:tabs>
        <w:tab w:val="left" w:pos="1423"/>
        <w:tab w:val="right" w:leader="dot" w:pos="9072"/>
      </w:tabs>
      <w:spacing w:before="120"/>
      <w:ind w:left="1440" w:right="386" w:hanging="1440"/>
    </w:pPr>
    <w:rPr>
      <w:b/>
      <w:bCs/>
    </w:rPr>
  </w:style>
  <w:style w:type="paragraph" w:styleId="TOC9">
    <w:name w:val="toc 9"/>
    <w:basedOn w:val="Normal"/>
    <w:next w:val="Normal"/>
    <w:autoRedefine/>
    <w:uiPriority w:val="39"/>
    <w:rsid w:val="00BE2177"/>
    <w:pPr>
      <w:tabs>
        <w:tab w:val="left" w:pos="1440"/>
        <w:tab w:val="right" w:leader="dot" w:pos="9072"/>
      </w:tabs>
      <w:ind w:left="1440" w:right="386" w:hanging="1440"/>
    </w:pPr>
  </w:style>
  <w:style w:type="paragraph" w:customStyle="1" w:styleId="wCoverRole">
    <w:name w:val="wCoverRole"/>
    <w:basedOn w:val="Normal"/>
    <w:next w:val="wCoverParties"/>
    <w:uiPriority w:val="21"/>
    <w:qFormat/>
    <w:rsid w:val="00BE2177"/>
    <w:pPr>
      <w:spacing w:after="480"/>
      <w:jc w:val="center"/>
    </w:pPr>
  </w:style>
  <w:style w:type="paragraph" w:customStyle="1" w:styleId="wBullet4">
    <w:name w:val="wBullet4"/>
    <w:basedOn w:val="Normal"/>
    <w:uiPriority w:val="8"/>
    <w:qFormat/>
    <w:rsid w:val="0079374D"/>
    <w:pPr>
      <w:numPr>
        <w:numId w:val="9"/>
      </w:numPr>
      <w:spacing w:after="180"/>
      <w:ind w:left="3600" w:hanging="720"/>
      <w:jc w:val="both"/>
    </w:pPr>
  </w:style>
  <w:style w:type="paragraph" w:customStyle="1" w:styleId="wText4">
    <w:name w:val="wText4"/>
    <w:basedOn w:val="Normal"/>
    <w:uiPriority w:val="1"/>
    <w:qFormat/>
    <w:rsid w:val="00BE2177"/>
    <w:pPr>
      <w:spacing w:after="180"/>
      <w:ind w:left="2880"/>
      <w:jc w:val="both"/>
    </w:pPr>
  </w:style>
  <w:style w:type="character" w:styleId="FootnoteReference">
    <w:name w:val="footnote reference"/>
    <w:basedOn w:val="DefaultParagraphFont"/>
    <w:uiPriority w:val="99"/>
    <w:unhideWhenUsed/>
    <w:rsid w:val="00BE2177"/>
    <w:rPr>
      <w:vertAlign w:val="superscript"/>
    </w:rPr>
  </w:style>
  <w:style w:type="paragraph" w:styleId="FootnoteText">
    <w:name w:val="footnote text"/>
    <w:basedOn w:val="Normal"/>
    <w:link w:val="FootnoteTextChar"/>
    <w:uiPriority w:val="99"/>
    <w:unhideWhenUsed/>
    <w:qFormat/>
    <w:rsid w:val="00BE2177"/>
    <w:pPr>
      <w:spacing w:after="60"/>
      <w:ind w:left="357" w:hanging="357"/>
      <w:jc w:val="both"/>
    </w:pPr>
    <w:rPr>
      <w:sz w:val="18"/>
      <w:szCs w:val="20"/>
    </w:rPr>
  </w:style>
  <w:style w:type="character" w:customStyle="1" w:styleId="FootnoteTextChar">
    <w:name w:val="Footnote Text Char"/>
    <w:basedOn w:val="DefaultParagraphFont"/>
    <w:link w:val="FootnoteText"/>
    <w:uiPriority w:val="99"/>
    <w:rsid w:val="00BE2177"/>
    <w:rPr>
      <w:rFonts w:ascii="Times New Roman" w:eastAsia="MS Mincho" w:hAnsi="Times New Roman" w:cs="Times New Roman"/>
      <w:sz w:val="18"/>
      <w:szCs w:val="20"/>
    </w:rPr>
  </w:style>
  <w:style w:type="paragraph" w:customStyle="1" w:styleId="SignLine">
    <w:name w:val="SignLine"/>
    <w:basedOn w:val="Normal"/>
    <w:next w:val="Normal"/>
    <w:rsid w:val="00E03967"/>
    <w:pPr>
      <w:tabs>
        <w:tab w:val="left" w:leader="dot" w:pos="3600"/>
      </w:tabs>
      <w:spacing w:before="800"/>
      <w:jc w:val="both"/>
    </w:pPr>
    <w:rPr>
      <w:rFonts w:eastAsia="Times New Roman"/>
      <w:szCs w:val="20"/>
    </w:rPr>
  </w:style>
  <w:style w:type="table" w:styleId="TableGrid">
    <w:name w:val="Table Grid"/>
    <w:basedOn w:val="TableNormal"/>
    <w:uiPriority w:val="59"/>
    <w:rsid w:val="00BE2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2177"/>
    <w:rPr>
      <w:color w:val="0000FF" w:themeColor="hyperlink"/>
      <w:u w:val="single"/>
    </w:rPr>
  </w:style>
  <w:style w:type="paragraph" w:customStyle="1" w:styleId="wSignTitle">
    <w:name w:val="wSignTitle"/>
    <w:basedOn w:val="Normal"/>
    <w:next w:val="wText"/>
    <w:uiPriority w:val="11"/>
    <w:qFormat/>
    <w:rsid w:val="00BE2177"/>
    <w:pPr>
      <w:keepNext/>
      <w:keepLines/>
      <w:pageBreakBefore/>
      <w:jc w:val="both"/>
    </w:pPr>
    <w:rPr>
      <w:rFonts w:eastAsia="Times New Roman"/>
      <w:b/>
      <w:sz w:val="26"/>
      <w:szCs w:val="24"/>
    </w:rPr>
  </w:style>
  <w:style w:type="character" w:customStyle="1" w:styleId="wTextChar">
    <w:name w:val="wText Char"/>
    <w:basedOn w:val="DefaultParagraphFont"/>
    <w:link w:val="wText"/>
    <w:uiPriority w:val="2"/>
    <w:rsid w:val="00BE2177"/>
    <w:rPr>
      <w:rFonts w:ascii="Times New Roman" w:eastAsia="MS Mincho" w:hAnsi="Times New Roman" w:cs="Times New Roman"/>
    </w:rPr>
  </w:style>
  <w:style w:type="paragraph" w:customStyle="1" w:styleId="wAnnotation">
    <w:name w:val="wAnnotation"/>
    <w:basedOn w:val="Normal"/>
    <w:next w:val="wText"/>
    <w:uiPriority w:val="10"/>
    <w:rsid w:val="00BE2177"/>
    <w:pPr>
      <w:keepNext/>
      <w:keepLines/>
      <w:framePr w:w="1152" w:hSpace="144" w:wrap="around" w:vAnchor="text" w:hAnchor="page" w:xAlign="right" w:y="1"/>
      <w:spacing w:before="40" w:line="180" w:lineRule="exact"/>
    </w:pPr>
    <w:rPr>
      <w:rFonts w:eastAsia="Times New Roman"/>
      <w:b/>
      <w:sz w:val="14"/>
      <w:szCs w:val="16"/>
      <w:lang w:val="en-GB"/>
    </w:rPr>
  </w:style>
  <w:style w:type="paragraph" w:customStyle="1" w:styleId="wCoverTitle1">
    <w:name w:val="wCoverTitle1"/>
    <w:basedOn w:val="Normal"/>
    <w:next w:val="wCoverTitle2"/>
    <w:uiPriority w:val="19"/>
    <w:qFormat/>
    <w:rsid w:val="00BE2177"/>
    <w:pPr>
      <w:spacing w:after="120"/>
      <w:jc w:val="center"/>
    </w:pPr>
    <w:rPr>
      <w:b/>
      <w:bCs/>
      <w:sz w:val="40"/>
      <w:szCs w:val="44"/>
    </w:rPr>
  </w:style>
  <w:style w:type="paragraph" w:customStyle="1" w:styleId="wCoverDate">
    <w:name w:val="wCoverDate"/>
    <w:basedOn w:val="Normal"/>
    <w:next w:val="wCoverTitle1"/>
    <w:uiPriority w:val="19"/>
    <w:qFormat/>
    <w:rsid w:val="00BE2177"/>
    <w:pPr>
      <w:spacing w:before="480" w:after="960"/>
      <w:jc w:val="center"/>
    </w:pPr>
    <w:rPr>
      <w:b/>
      <w:bCs/>
    </w:rPr>
  </w:style>
  <w:style w:type="paragraph" w:customStyle="1" w:styleId="wSignName">
    <w:name w:val="wSignName"/>
    <w:basedOn w:val="Normal"/>
    <w:next w:val="wSignNameLine"/>
    <w:uiPriority w:val="11"/>
    <w:qFormat/>
    <w:rsid w:val="00BE2177"/>
    <w:pPr>
      <w:spacing w:before="600" w:after="60"/>
    </w:pPr>
  </w:style>
  <w:style w:type="paragraph" w:customStyle="1" w:styleId="wSignNameLine">
    <w:name w:val="wSignNameLine"/>
    <w:basedOn w:val="Normal"/>
    <w:next w:val="Normal"/>
    <w:uiPriority w:val="11"/>
    <w:qFormat/>
    <w:rsid w:val="00BE2177"/>
    <w:pPr>
      <w:tabs>
        <w:tab w:val="right" w:leader="underscore" w:pos="4253"/>
      </w:tabs>
      <w:spacing w:before="600"/>
    </w:pPr>
  </w:style>
  <w:style w:type="paragraph" w:customStyle="1" w:styleId="wExecution">
    <w:name w:val="wExecution"/>
    <w:basedOn w:val="Normal"/>
    <w:uiPriority w:val="13"/>
    <w:qFormat/>
    <w:rsid w:val="00BE2177"/>
    <w:pPr>
      <w:tabs>
        <w:tab w:val="left" w:pos="567"/>
      </w:tabs>
      <w:ind w:left="56"/>
    </w:pPr>
  </w:style>
  <w:style w:type="paragraph" w:customStyle="1" w:styleId="Definition7">
    <w:name w:val="Definition 7"/>
    <w:basedOn w:val="Normal"/>
    <w:uiPriority w:val="2"/>
    <w:qFormat/>
    <w:rsid w:val="00BE2177"/>
    <w:pPr>
      <w:numPr>
        <w:ilvl w:val="6"/>
        <w:numId w:val="4"/>
      </w:numPr>
      <w:spacing w:after="180"/>
      <w:jc w:val="both"/>
    </w:pPr>
  </w:style>
  <w:style w:type="paragraph" w:customStyle="1" w:styleId="wList1">
    <w:name w:val="wList1"/>
    <w:basedOn w:val="Normal"/>
    <w:uiPriority w:val="7"/>
    <w:qFormat/>
    <w:rsid w:val="00BE2177"/>
    <w:pPr>
      <w:numPr>
        <w:numId w:val="10"/>
      </w:numPr>
      <w:spacing w:after="180"/>
      <w:jc w:val="both"/>
    </w:pPr>
  </w:style>
  <w:style w:type="paragraph" w:customStyle="1" w:styleId="wList2">
    <w:name w:val="wList2"/>
    <w:basedOn w:val="Normal"/>
    <w:uiPriority w:val="7"/>
    <w:qFormat/>
    <w:rsid w:val="00BE2177"/>
    <w:pPr>
      <w:numPr>
        <w:ilvl w:val="1"/>
        <w:numId w:val="10"/>
      </w:numPr>
      <w:spacing w:after="180"/>
      <w:jc w:val="both"/>
    </w:pPr>
  </w:style>
  <w:style w:type="paragraph" w:customStyle="1" w:styleId="wList3">
    <w:name w:val="wList3"/>
    <w:basedOn w:val="Normal"/>
    <w:uiPriority w:val="7"/>
    <w:qFormat/>
    <w:rsid w:val="00BE2177"/>
    <w:pPr>
      <w:numPr>
        <w:ilvl w:val="2"/>
        <w:numId w:val="10"/>
      </w:numPr>
      <w:spacing w:after="180"/>
      <w:jc w:val="both"/>
    </w:pPr>
  </w:style>
  <w:style w:type="paragraph" w:customStyle="1" w:styleId="wList4">
    <w:name w:val="wList4"/>
    <w:basedOn w:val="Normal"/>
    <w:uiPriority w:val="7"/>
    <w:qFormat/>
    <w:rsid w:val="00BE2177"/>
    <w:pPr>
      <w:numPr>
        <w:ilvl w:val="3"/>
        <w:numId w:val="10"/>
      </w:numPr>
      <w:spacing w:after="180"/>
      <w:jc w:val="both"/>
    </w:pPr>
  </w:style>
  <w:style w:type="paragraph" w:customStyle="1" w:styleId="wList5">
    <w:name w:val="wList5"/>
    <w:basedOn w:val="Normal"/>
    <w:uiPriority w:val="7"/>
    <w:qFormat/>
    <w:rsid w:val="00BE2177"/>
    <w:pPr>
      <w:numPr>
        <w:ilvl w:val="4"/>
        <w:numId w:val="10"/>
      </w:numPr>
      <w:spacing w:after="180"/>
      <w:jc w:val="both"/>
    </w:pPr>
  </w:style>
  <w:style w:type="paragraph" w:customStyle="1" w:styleId="wList6">
    <w:name w:val="wList6"/>
    <w:basedOn w:val="Normal"/>
    <w:uiPriority w:val="7"/>
    <w:qFormat/>
    <w:rsid w:val="00BE2177"/>
    <w:pPr>
      <w:numPr>
        <w:ilvl w:val="5"/>
        <w:numId w:val="10"/>
      </w:numPr>
      <w:spacing w:after="180"/>
      <w:jc w:val="both"/>
    </w:pPr>
  </w:style>
  <w:style w:type="paragraph" w:customStyle="1" w:styleId="wList7">
    <w:name w:val="wList7"/>
    <w:basedOn w:val="Normal"/>
    <w:uiPriority w:val="7"/>
    <w:qFormat/>
    <w:rsid w:val="00BE2177"/>
    <w:pPr>
      <w:numPr>
        <w:ilvl w:val="6"/>
        <w:numId w:val="10"/>
      </w:numPr>
      <w:spacing w:after="180"/>
      <w:jc w:val="both"/>
    </w:pPr>
  </w:style>
  <w:style w:type="paragraph" w:customStyle="1" w:styleId="wNoTOC">
    <w:name w:val="wNoTOC"/>
    <w:basedOn w:val="Normal"/>
    <w:next w:val="wText1"/>
    <w:uiPriority w:val="18"/>
    <w:qFormat/>
    <w:rsid w:val="00CF5469"/>
    <w:pPr>
      <w:spacing w:after="180"/>
      <w:jc w:val="both"/>
    </w:pPr>
    <w:rPr>
      <w:rFonts w:eastAsiaTheme="minorHAnsi" w:cstheme="minorBidi"/>
    </w:rPr>
  </w:style>
  <w:style w:type="paragraph" w:customStyle="1" w:styleId="FooterSupressDocId">
    <w:name w:val="FooterSupressDocId"/>
    <w:basedOn w:val="Footer"/>
    <w:link w:val="FooterSupressDocIdChar"/>
    <w:rsid w:val="00C048A6"/>
  </w:style>
  <w:style w:type="character" w:customStyle="1" w:styleId="FooterSupressDocIdChar">
    <w:name w:val="FooterSupressDocId Char"/>
    <w:basedOn w:val="FooterChar"/>
    <w:link w:val="FooterSupressDocId"/>
    <w:rsid w:val="00C048A6"/>
    <w:rPr>
      <w:rFonts w:ascii="Times New Roman" w:eastAsia="Times New Roman" w:hAnsi="Times New Roman" w:cs="Times New Roman"/>
      <w:sz w:val="16"/>
      <w:szCs w:val="20"/>
      <w:lang w:val="de-DE" w:eastAsia="de-DE"/>
    </w:rPr>
  </w:style>
  <w:style w:type="table" w:customStyle="1" w:styleId="TableGrid1">
    <w:name w:val="Table Grid1"/>
    <w:basedOn w:val="TableNormal"/>
    <w:next w:val="TableGrid"/>
    <w:uiPriority w:val="59"/>
    <w:rsid w:val="006D5C5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D5C52"/>
    <w:rPr>
      <w:rFonts w:ascii="Calibri" w:eastAsiaTheme="minorHAnsi" w:hAnsi="Calibri" w:cs="Calibri"/>
      <w:sz w:val="20"/>
      <w:szCs w:val="20"/>
      <w:lang w:val="en-GB" w:eastAsia="en-GB"/>
    </w:rPr>
  </w:style>
  <w:style w:type="character" w:styleId="PageNumber">
    <w:name w:val="page number"/>
    <w:basedOn w:val="DefaultParagraphFont"/>
    <w:uiPriority w:val="99"/>
    <w:semiHidden/>
    <w:unhideWhenUsed/>
    <w:rsid w:val="00706D8A"/>
  </w:style>
  <w:style w:type="paragraph" w:customStyle="1" w:styleId="Exhibit1">
    <w:name w:val="Exhibit 1"/>
    <w:basedOn w:val="Normal"/>
    <w:next w:val="Exhibit2"/>
    <w:uiPriority w:val="29"/>
    <w:qFormat/>
    <w:rsid w:val="00390A34"/>
    <w:pPr>
      <w:keepNext/>
      <w:keepLines/>
      <w:pageBreakBefore/>
      <w:spacing w:after="360"/>
      <w:jc w:val="center"/>
    </w:pPr>
    <w:rPr>
      <w:rFonts w:ascii="Times New Roman Bold" w:hAnsi="Times New Roman Bold"/>
      <w:b/>
      <w:bCs/>
      <w:caps/>
      <w:szCs w:val="30"/>
      <w:lang w:val="en-US"/>
    </w:rPr>
  </w:style>
  <w:style w:type="paragraph" w:customStyle="1" w:styleId="Exhibit2">
    <w:name w:val="Exhibit 2"/>
    <w:basedOn w:val="Normal"/>
    <w:next w:val="Exhibit3"/>
    <w:uiPriority w:val="29"/>
    <w:qFormat/>
    <w:rsid w:val="00390A34"/>
    <w:pPr>
      <w:keepNext/>
      <w:keepLines/>
      <w:spacing w:after="240"/>
    </w:pPr>
    <w:rPr>
      <w:b/>
      <w:bCs/>
      <w:lang w:val="en-US"/>
    </w:rPr>
  </w:style>
  <w:style w:type="paragraph" w:customStyle="1" w:styleId="Exhibit3">
    <w:name w:val="Exhibit 3"/>
    <w:basedOn w:val="Normal"/>
    <w:next w:val="Normal"/>
    <w:uiPriority w:val="29"/>
    <w:qFormat/>
    <w:rsid w:val="00390A34"/>
    <w:pPr>
      <w:tabs>
        <w:tab w:val="num" w:pos="720"/>
      </w:tabs>
      <w:spacing w:after="180"/>
      <w:ind w:left="720" w:hanging="720"/>
      <w:jc w:val="both"/>
    </w:pPr>
    <w:rPr>
      <w:lang w:val="en-US"/>
    </w:rPr>
  </w:style>
  <w:style w:type="paragraph" w:customStyle="1" w:styleId="Exhibit4">
    <w:name w:val="Exhibit 4"/>
    <w:basedOn w:val="Normal"/>
    <w:next w:val="Normal"/>
    <w:uiPriority w:val="29"/>
    <w:qFormat/>
    <w:rsid w:val="00390A34"/>
    <w:pPr>
      <w:tabs>
        <w:tab w:val="num" w:pos="720"/>
      </w:tabs>
      <w:spacing w:after="180"/>
      <w:ind w:left="720" w:hanging="720"/>
      <w:jc w:val="both"/>
    </w:pPr>
    <w:rPr>
      <w:iCs/>
      <w:lang w:val="en-US"/>
    </w:rPr>
  </w:style>
  <w:style w:type="paragraph" w:customStyle="1" w:styleId="Exhibit5">
    <w:name w:val="Exhibit 5"/>
    <w:basedOn w:val="Normal"/>
    <w:uiPriority w:val="29"/>
    <w:qFormat/>
    <w:rsid w:val="00390A34"/>
    <w:pPr>
      <w:tabs>
        <w:tab w:val="num" w:pos="1440"/>
      </w:tabs>
      <w:spacing w:after="180"/>
      <w:ind w:left="1440" w:hanging="720"/>
      <w:jc w:val="both"/>
    </w:pPr>
    <w:rPr>
      <w:lang w:val="en-US"/>
    </w:rPr>
  </w:style>
  <w:style w:type="paragraph" w:customStyle="1" w:styleId="Exhibit6">
    <w:name w:val="Exhibit 6"/>
    <w:basedOn w:val="Normal"/>
    <w:uiPriority w:val="29"/>
    <w:qFormat/>
    <w:rsid w:val="00390A34"/>
    <w:pPr>
      <w:tabs>
        <w:tab w:val="num" w:pos="720"/>
      </w:tabs>
      <w:spacing w:after="180"/>
      <w:ind w:left="720" w:hanging="720"/>
      <w:jc w:val="both"/>
    </w:pPr>
    <w:rPr>
      <w:lang w:val="en-US"/>
    </w:rPr>
  </w:style>
  <w:style w:type="paragraph" w:customStyle="1" w:styleId="Exhibit7">
    <w:name w:val="Exhibit 7"/>
    <w:basedOn w:val="Normal"/>
    <w:uiPriority w:val="29"/>
    <w:qFormat/>
    <w:rsid w:val="00390A34"/>
    <w:pPr>
      <w:tabs>
        <w:tab w:val="num" w:pos="2880"/>
      </w:tabs>
      <w:spacing w:after="180"/>
      <w:ind w:left="2880" w:hanging="720"/>
      <w:jc w:val="both"/>
    </w:pPr>
    <w:rPr>
      <w:lang w:val="en-US"/>
    </w:rPr>
  </w:style>
  <w:style w:type="paragraph" w:customStyle="1" w:styleId="Exhibit8">
    <w:name w:val="Exhibit 8"/>
    <w:basedOn w:val="Normal"/>
    <w:uiPriority w:val="29"/>
    <w:qFormat/>
    <w:rsid w:val="00390A34"/>
    <w:pPr>
      <w:tabs>
        <w:tab w:val="num" w:pos="720"/>
      </w:tabs>
      <w:spacing w:after="180"/>
      <w:ind w:left="720" w:hanging="720"/>
      <w:jc w:val="both"/>
    </w:pPr>
    <w:rPr>
      <w:lang w:val="en-US"/>
    </w:rPr>
  </w:style>
  <w:style w:type="paragraph" w:customStyle="1" w:styleId="Exhibit9">
    <w:name w:val="Exhibit 9"/>
    <w:basedOn w:val="Normal"/>
    <w:uiPriority w:val="29"/>
    <w:qFormat/>
    <w:rsid w:val="00390A34"/>
    <w:pPr>
      <w:tabs>
        <w:tab w:val="num" w:pos="1440"/>
      </w:tabs>
      <w:spacing w:after="180"/>
      <w:ind w:left="1440" w:hanging="720"/>
      <w:jc w:val="both"/>
    </w:pPr>
    <w:rPr>
      <w:lang w:val="en-US"/>
    </w:rPr>
  </w:style>
  <w:style w:type="paragraph" w:customStyle="1" w:styleId="wBlock1">
    <w:name w:val="wBlock1"/>
    <w:basedOn w:val="Normal"/>
    <w:uiPriority w:val="4"/>
    <w:qFormat/>
    <w:rsid w:val="00390A34"/>
    <w:pPr>
      <w:spacing w:after="180"/>
      <w:ind w:left="720" w:right="720"/>
      <w:jc w:val="both"/>
    </w:pPr>
    <w:rPr>
      <w:lang w:val="en-US"/>
    </w:rPr>
  </w:style>
  <w:style w:type="paragraph" w:customStyle="1" w:styleId="wBlock2">
    <w:name w:val="wBlock2"/>
    <w:basedOn w:val="Normal"/>
    <w:uiPriority w:val="4"/>
    <w:qFormat/>
    <w:rsid w:val="00390A34"/>
    <w:pPr>
      <w:spacing w:after="180"/>
      <w:ind w:left="1440" w:right="1440"/>
      <w:jc w:val="both"/>
    </w:pPr>
    <w:rPr>
      <w:lang w:val="en-US"/>
    </w:rPr>
  </w:style>
  <w:style w:type="paragraph" w:customStyle="1" w:styleId="wTableFN8">
    <w:name w:val="wTableFN8"/>
    <w:basedOn w:val="Normal"/>
    <w:uiPriority w:val="9"/>
    <w:qFormat/>
    <w:rsid w:val="00390A34"/>
    <w:pPr>
      <w:spacing w:after="180"/>
      <w:ind w:left="720" w:hanging="720"/>
      <w:contextualSpacing/>
      <w:jc w:val="both"/>
    </w:pPr>
    <w:rPr>
      <w:rFonts w:cstheme="minorBidi"/>
      <w:sz w:val="16"/>
      <w:lang w:val="en-GB"/>
    </w:rPr>
  </w:style>
  <w:style w:type="paragraph" w:customStyle="1" w:styleId="wRight">
    <w:name w:val="wRight"/>
    <w:basedOn w:val="Normal"/>
    <w:uiPriority w:val="8"/>
    <w:qFormat/>
    <w:rsid w:val="00390A34"/>
    <w:pPr>
      <w:spacing w:after="240"/>
      <w:jc w:val="right"/>
    </w:pPr>
    <w:rPr>
      <w:lang w:val="en-US"/>
    </w:rPr>
  </w:style>
  <w:style w:type="paragraph" w:customStyle="1" w:styleId="wBy">
    <w:name w:val="wBy"/>
    <w:basedOn w:val="Normal"/>
    <w:uiPriority w:val="8"/>
    <w:qFormat/>
    <w:rsid w:val="00390A34"/>
    <w:pPr>
      <w:tabs>
        <w:tab w:val="left" w:pos="5760"/>
      </w:tabs>
      <w:spacing w:after="240"/>
      <w:ind w:left="5400"/>
    </w:pPr>
    <w:rPr>
      <w:lang w:val="en-US"/>
    </w:rPr>
  </w:style>
  <w:style w:type="paragraph" w:customStyle="1" w:styleId="wCover">
    <w:name w:val="wCover"/>
    <w:basedOn w:val="Normal"/>
    <w:uiPriority w:val="11"/>
    <w:qFormat/>
    <w:rsid w:val="00390A34"/>
    <w:pPr>
      <w:spacing w:before="480" w:after="240"/>
      <w:jc w:val="center"/>
    </w:pPr>
    <w:rPr>
      <w:lang w:val="en-US"/>
    </w:rPr>
  </w:style>
  <w:style w:type="paragraph" w:customStyle="1" w:styleId="wLine">
    <w:name w:val="wLine"/>
    <w:basedOn w:val="Normal"/>
    <w:next w:val="wText"/>
    <w:uiPriority w:val="12"/>
    <w:qFormat/>
    <w:rsid w:val="00390A34"/>
    <w:pPr>
      <w:pBdr>
        <w:bottom w:val="single" w:sz="4" w:space="1" w:color="auto"/>
      </w:pBdr>
      <w:ind w:left="3600" w:right="3600"/>
    </w:pPr>
    <w:rPr>
      <w:sz w:val="8"/>
    </w:rPr>
  </w:style>
  <w:style w:type="paragraph" w:customStyle="1" w:styleId="wTableFN6">
    <w:name w:val="wTableFN6"/>
    <w:basedOn w:val="wTableFN7"/>
    <w:uiPriority w:val="9"/>
    <w:qFormat/>
    <w:rsid w:val="00390A34"/>
    <w:rPr>
      <w:rFonts w:cstheme="minorBidi"/>
      <w:sz w:val="12"/>
      <w:lang w:val="en-GB"/>
    </w:rPr>
  </w:style>
  <w:style w:type="paragraph" w:customStyle="1" w:styleId="wTableFN7">
    <w:name w:val="wTableFN7"/>
    <w:basedOn w:val="Normal"/>
    <w:uiPriority w:val="9"/>
    <w:qFormat/>
    <w:rsid w:val="00390A34"/>
    <w:pPr>
      <w:spacing w:after="180"/>
      <w:ind w:left="720" w:hanging="720"/>
      <w:contextualSpacing/>
      <w:jc w:val="both"/>
    </w:pPr>
    <w:rPr>
      <w:sz w:val="14"/>
      <w:lang w:val="en-US"/>
    </w:rPr>
  </w:style>
  <w:style w:type="paragraph" w:customStyle="1" w:styleId="wListNum">
    <w:name w:val="wListNum"/>
    <w:basedOn w:val="Normal"/>
    <w:uiPriority w:val="7"/>
    <w:qFormat/>
    <w:rsid w:val="00390A34"/>
    <w:pPr>
      <w:numPr>
        <w:numId w:val="17"/>
      </w:numPr>
      <w:spacing w:after="180"/>
      <w:ind w:hanging="720"/>
      <w:jc w:val="both"/>
    </w:pPr>
    <w:rPr>
      <w:lang w:val="en-US"/>
    </w:rPr>
  </w:style>
  <w:style w:type="paragraph" w:customStyle="1" w:styleId="wListNum1">
    <w:name w:val="wListNum1"/>
    <w:basedOn w:val="Normal"/>
    <w:uiPriority w:val="7"/>
    <w:qFormat/>
    <w:rsid w:val="00390A34"/>
    <w:pPr>
      <w:numPr>
        <w:numId w:val="18"/>
      </w:numPr>
      <w:spacing w:after="180"/>
      <w:ind w:left="1440" w:hanging="720"/>
      <w:jc w:val="both"/>
    </w:pPr>
    <w:rPr>
      <w:lang w:val="en-US"/>
    </w:rPr>
  </w:style>
  <w:style w:type="paragraph" w:customStyle="1" w:styleId="wListNum3">
    <w:name w:val="wListNum3"/>
    <w:basedOn w:val="Normal"/>
    <w:uiPriority w:val="7"/>
    <w:qFormat/>
    <w:rsid w:val="00390A34"/>
    <w:pPr>
      <w:numPr>
        <w:numId w:val="19"/>
      </w:numPr>
      <w:spacing w:after="180"/>
      <w:ind w:left="2160" w:hanging="720"/>
      <w:jc w:val="both"/>
    </w:pPr>
    <w:rPr>
      <w:lang w:val="en-US"/>
    </w:rPr>
  </w:style>
  <w:style w:type="paragraph" w:customStyle="1" w:styleId="wListLet">
    <w:name w:val="wListLet"/>
    <w:basedOn w:val="Normal"/>
    <w:uiPriority w:val="7"/>
    <w:qFormat/>
    <w:rsid w:val="00390A34"/>
    <w:pPr>
      <w:numPr>
        <w:numId w:val="20"/>
      </w:numPr>
      <w:tabs>
        <w:tab w:val="left" w:pos="720"/>
      </w:tabs>
      <w:spacing w:after="180"/>
      <w:ind w:left="720" w:hanging="720"/>
      <w:jc w:val="both"/>
    </w:pPr>
    <w:rPr>
      <w:lang w:val="en-US"/>
    </w:rPr>
  </w:style>
  <w:style w:type="paragraph" w:customStyle="1" w:styleId="wListLet1">
    <w:name w:val="wListLet1"/>
    <w:basedOn w:val="Normal"/>
    <w:uiPriority w:val="7"/>
    <w:qFormat/>
    <w:rsid w:val="00390A34"/>
    <w:pPr>
      <w:numPr>
        <w:numId w:val="21"/>
      </w:numPr>
      <w:tabs>
        <w:tab w:val="left" w:pos="720"/>
      </w:tabs>
      <w:spacing w:after="180"/>
      <w:ind w:left="1440" w:hanging="720"/>
      <w:jc w:val="both"/>
    </w:pPr>
    <w:rPr>
      <w:lang w:val="en-US"/>
    </w:rPr>
  </w:style>
  <w:style w:type="paragraph" w:customStyle="1" w:styleId="wListLet3">
    <w:name w:val="wListLet3"/>
    <w:basedOn w:val="Normal"/>
    <w:uiPriority w:val="7"/>
    <w:qFormat/>
    <w:rsid w:val="00390A34"/>
    <w:pPr>
      <w:numPr>
        <w:numId w:val="22"/>
      </w:numPr>
      <w:tabs>
        <w:tab w:val="left" w:pos="720"/>
      </w:tabs>
      <w:spacing w:after="180"/>
      <w:ind w:left="2160" w:hanging="720"/>
      <w:jc w:val="both"/>
    </w:pPr>
    <w:rPr>
      <w:lang w:val="en-US"/>
    </w:rPr>
  </w:style>
  <w:style w:type="paragraph" w:customStyle="1" w:styleId="wTableFN9">
    <w:name w:val="wTableFN9"/>
    <w:basedOn w:val="Normal"/>
    <w:uiPriority w:val="9"/>
    <w:qFormat/>
    <w:rsid w:val="00390A34"/>
    <w:pPr>
      <w:spacing w:after="180"/>
      <w:ind w:left="720" w:hanging="720"/>
      <w:contextualSpacing/>
      <w:jc w:val="both"/>
    </w:pPr>
    <w:rPr>
      <w:sz w:val="18"/>
      <w:lang w:val="en-US"/>
    </w:rPr>
  </w:style>
  <w:style w:type="paragraph" w:customStyle="1" w:styleId="wTitle">
    <w:name w:val="wTitle"/>
    <w:basedOn w:val="Normal"/>
    <w:uiPriority w:val="48"/>
    <w:qFormat/>
    <w:rsid w:val="00390A34"/>
    <w:pPr>
      <w:tabs>
        <w:tab w:val="right" w:pos="9781"/>
      </w:tabs>
    </w:pPr>
    <w:rPr>
      <w:b/>
      <w:lang w:val="en-US"/>
    </w:rPr>
  </w:style>
  <w:style w:type="paragraph" w:customStyle="1" w:styleId="wLogo">
    <w:name w:val="wLogo"/>
    <w:basedOn w:val="Normal"/>
    <w:next w:val="wCenterB"/>
    <w:uiPriority w:val="48"/>
    <w:qFormat/>
    <w:rsid w:val="00390A34"/>
    <w:pPr>
      <w:jc w:val="center"/>
    </w:pPr>
    <w:rPr>
      <w:b/>
      <w:sz w:val="24"/>
      <w:lang w:val="en-US"/>
    </w:rPr>
  </w:style>
  <w:style w:type="paragraph" w:customStyle="1" w:styleId="DefinedTerm">
    <w:name w:val="Defined Term"/>
    <w:basedOn w:val="Normal"/>
    <w:uiPriority w:val="2"/>
    <w:qFormat/>
    <w:rsid w:val="00390A34"/>
    <w:pPr>
      <w:tabs>
        <w:tab w:val="right" w:leader="dot" w:pos="2772"/>
      </w:tabs>
      <w:spacing w:after="180"/>
      <w:ind w:left="720" w:hanging="720"/>
    </w:pPr>
    <w:rPr>
      <w:lang w:val="en-US"/>
    </w:rPr>
  </w:style>
  <w:style w:type="paragraph" w:customStyle="1" w:styleId="Appendix1">
    <w:name w:val="Appendix 1"/>
    <w:basedOn w:val="Normal"/>
    <w:next w:val="Appendix2"/>
    <w:uiPriority w:val="10"/>
    <w:qFormat/>
    <w:rsid w:val="00390A34"/>
    <w:pPr>
      <w:keepNext/>
      <w:numPr>
        <w:numId w:val="23"/>
      </w:numPr>
      <w:spacing w:after="180"/>
      <w:jc w:val="center"/>
    </w:pPr>
    <w:rPr>
      <w:b/>
      <w:bCs/>
      <w:szCs w:val="30"/>
      <w:lang w:val="en-US"/>
    </w:rPr>
  </w:style>
  <w:style w:type="paragraph" w:customStyle="1" w:styleId="Appendix2">
    <w:name w:val="Appendix 2"/>
    <w:basedOn w:val="Normal"/>
    <w:next w:val="wText1"/>
    <w:uiPriority w:val="10"/>
    <w:qFormat/>
    <w:rsid w:val="00390A34"/>
    <w:pPr>
      <w:keepNext/>
      <w:numPr>
        <w:ilvl w:val="1"/>
        <w:numId w:val="23"/>
      </w:numPr>
      <w:spacing w:after="180"/>
      <w:jc w:val="center"/>
    </w:pPr>
    <w:rPr>
      <w:b/>
      <w:bCs/>
      <w:lang w:val="en-US"/>
    </w:rPr>
  </w:style>
  <w:style w:type="paragraph" w:customStyle="1" w:styleId="Appendix3">
    <w:name w:val="Appendix 3"/>
    <w:basedOn w:val="Normal"/>
    <w:next w:val="wText1"/>
    <w:uiPriority w:val="10"/>
    <w:qFormat/>
    <w:rsid w:val="00390A34"/>
    <w:pPr>
      <w:numPr>
        <w:ilvl w:val="2"/>
        <w:numId w:val="23"/>
      </w:numPr>
      <w:spacing w:after="180"/>
      <w:jc w:val="both"/>
    </w:pPr>
    <w:rPr>
      <w:lang w:val="en-US"/>
    </w:rPr>
  </w:style>
  <w:style w:type="paragraph" w:customStyle="1" w:styleId="Appendix4">
    <w:name w:val="Appendix 4"/>
    <w:basedOn w:val="Normal"/>
    <w:next w:val="wText2"/>
    <w:uiPriority w:val="10"/>
    <w:qFormat/>
    <w:rsid w:val="00390A34"/>
    <w:pPr>
      <w:numPr>
        <w:ilvl w:val="3"/>
        <w:numId w:val="23"/>
      </w:numPr>
      <w:spacing w:after="180"/>
      <w:jc w:val="both"/>
    </w:pPr>
    <w:rPr>
      <w:iCs/>
      <w:lang w:val="en-US"/>
    </w:rPr>
  </w:style>
  <w:style w:type="paragraph" w:customStyle="1" w:styleId="Appendix5">
    <w:name w:val="Appendix 5"/>
    <w:basedOn w:val="Normal"/>
    <w:uiPriority w:val="10"/>
    <w:qFormat/>
    <w:rsid w:val="00390A34"/>
    <w:pPr>
      <w:numPr>
        <w:ilvl w:val="4"/>
        <w:numId w:val="23"/>
      </w:numPr>
      <w:spacing w:after="180"/>
      <w:jc w:val="both"/>
    </w:pPr>
    <w:rPr>
      <w:lang w:val="en-US"/>
    </w:rPr>
  </w:style>
  <w:style w:type="paragraph" w:customStyle="1" w:styleId="Appendix6">
    <w:name w:val="Appendix 6"/>
    <w:basedOn w:val="Normal"/>
    <w:uiPriority w:val="10"/>
    <w:qFormat/>
    <w:rsid w:val="00390A34"/>
    <w:pPr>
      <w:numPr>
        <w:ilvl w:val="5"/>
        <w:numId w:val="23"/>
      </w:numPr>
      <w:spacing w:after="180"/>
      <w:jc w:val="both"/>
    </w:pPr>
    <w:rPr>
      <w:lang w:val="en-US"/>
    </w:rPr>
  </w:style>
  <w:style w:type="paragraph" w:customStyle="1" w:styleId="Appendix7">
    <w:name w:val="Appendix 7"/>
    <w:basedOn w:val="Normal"/>
    <w:uiPriority w:val="10"/>
    <w:qFormat/>
    <w:rsid w:val="00390A34"/>
    <w:pPr>
      <w:numPr>
        <w:ilvl w:val="6"/>
        <w:numId w:val="23"/>
      </w:numPr>
      <w:spacing w:after="180"/>
      <w:jc w:val="both"/>
    </w:pPr>
    <w:rPr>
      <w:lang w:val="en-US"/>
    </w:rPr>
  </w:style>
  <w:style w:type="paragraph" w:customStyle="1" w:styleId="Appendix8">
    <w:name w:val="Appendix 8"/>
    <w:basedOn w:val="Normal"/>
    <w:uiPriority w:val="10"/>
    <w:qFormat/>
    <w:rsid w:val="00390A34"/>
    <w:pPr>
      <w:numPr>
        <w:ilvl w:val="7"/>
        <w:numId w:val="23"/>
      </w:numPr>
      <w:spacing w:after="180"/>
      <w:jc w:val="both"/>
    </w:pPr>
    <w:rPr>
      <w:lang w:val="en-US"/>
    </w:rPr>
  </w:style>
  <w:style w:type="paragraph" w:customStyle="1" w:styleId="Appendix9">
    <w:name w:val="Appendix 9"/>
    <w:basedOn w:val="Normal"/>
    <w:uiPriority w:val="10"/>
    <w:qFormat/>
    <w:rsid w:val="00390A34"/>
    <w:pPr>
      <w:numPr>
        <w:ilvl w:val="8"/>
        <w:numId w:val="23"/>
      </w:numPr>
      <w:spacing w:after="180"/>
      <w:jc w:val="both"/>
    </w:pPr>
    <w:rPr>
      <w:lang w:val="en-US"/>
    </w:rPr>
  </w:style>
  <w:style w:type="paragraph" w:customStyle="1" w:styleId="Schedule1">
    <w:name w:val="Schedule 1"/>
    <w:basedOn w:val="Normal"/>
    <w:next w:val="Schedule2"/>
    <w:uiPriority w:val="30"/>
    <w:qFormat/>
    <w:rsid w:val="00390A34"/>
    <w:pPr>
      <w:keepNext/>
      <w:keepLines/>
      <w:pageBreakBefore/>
      <w:numPr>
        <w:numId w:val="24"/>
      </w:numPr>
      <w:spacing w:after="180"/>
      <w:jc w:val="center"/>
    </w:pPr>
    <w:rPr>
      <w:b/>
      <w:bCs/>
      <w:szCs w:val="30"/>
      <w:lang w:val="en-US"/>
    </w:rPr>
  </w:style>
  <w:style w:type="paragraph" w:customStyle="1" w:styleId="Schedule2">
    <w:name w:val="Schedule 2"/>
    <w:basedOn w:val="Normal"/>
    <w:next w:val="Schedule3"/>
    <w:uiPriority w:val="30"/>
    <w:qFormat/>
    <w:rsid w:val="00390A34"/>
    <w:pPr>
      <w:keepNext/>
      <w:numPr>
        <w:ilvl w:val="1"/>
        <w:numId w:val="24"/>
      </w:numPr>
      <w:spacing w:after="240"/>
      <w:jc w:val="center"/>
    </w:pPr>
    <w:rPr>
      <w:b/>
      <w:bCs/>
      <w:lang w:val="en-US"/>
    </w:rPr>
  </w:style>
  <w:style w:type="paragraph" w:customStyle="1" w:styleId="Schedule3">
    <w:name w:val="Schedule 3"/>
    <w:basedOn w:val="Normal"/>
    <w:next w:val="wText1"/>
    <w:uiPriority w:val="30"/>
    <w:qFormat/>
    <w:rsid w:val="00390A34"/>
    <w:pPr>
      <w:numPr>
        <w:ilvl w:val="2"/>
        <w:numId w:val="24"/>
      </w:numPr>
      <w:spacing w:after="180"/>
      <w:jc w:val="both"/>
    </w:pPr>
    <w:rPr>
      <w:lang w:val="en-US"/>
    </w:rPr>
  </w:style>
  <w:style w:type="paragraph" w:customStyle="1" w:styleId="Schedule4">
    <w:name w:val="Schedule 4"/>
    <w:basedOn w:val="Normal"/>
    <w:next w:val="wText2"/>
    <w:uiPriority w:val="30"/>
    <w:qFormat/>
    <w:rsid w:val="00390A34"/>
    <w:pPr>
      <w:numPr>
        <w:ilvl w:val="3"/>
        <w:numId w:val="24"/>
      </w:numPr>
      <w:spacing w:after="180"/>
      <w:jc w:val="both"/>
    </w:pPr>
    <w:rPr>
      <w:iCs/>
      <w:lang w:val="en-US"/>
    </w:rPr>
  </w:style>
  <w:style w:type="paragraph" w:customStyle="1" w:styleId="Schedule5">
    <w:name w:val="Schedule 5"/>
    <w:basedOn w:val="Normal"/>
    <w:uiPriority w:val="30"/>
    <w:qFormat/>
    <w:rsid w:val="00390A34"/>
    <w:pPr>
      <w:numPr>
        <w:ilvl w:val="4"/>
        <w:numId w:val="24"/>
      </w:numPr>
      <w:spacing w:after="180"/>
      <w:jc w:val="both"/>
    </w:pPr>
    <w:rPr>
      <w:lang w:val="en-US"/>
    </w:rPr>
  </w:style>
  <w:style w:type="paragraph" w:customStyle="1" w:styleId="Schedule6">
    <w:name w:val="Schedule 6"/>
    <w:basedOn w:val="Normal"/>
    <w:uiPriority w:val="30"/>
    <w:qFormat/>
    <w:rsid w:val="00390A34"/>
    <w:pPr>
      <w:numPr>
        <w:ilvl w:val="5"/>
        <w:numId w:val="24"/>
      </w:numPr>
      <w:spacing w:after="180"/>
      <w:jc w:val="both"/>
    </w:pPr>
    <w:rPr>
      <w:lang w:val="en-US"/>
    </w:rPr>
  </w:style>
  <w:style w:type="paragraph" w:customStyle="1" w:styleId="Schedule7">
    <w:name w:val="Schedule 7"/>
    <w:basedOn w:val="Normal"/>
    <w:uiPriority w:val="30"/>
    <w:qFormat/>
    <w:rsid w:val="00390A34"/>
    <w:pPr>
      <w:numPr>
        <w:ilvl w:val="6"/>
        <w:numId w:val="24"/>
      </w:numPr>
      <w:spacing w:after="180"/>
      <w:jc w:val="both"/>
    </w:pPr>
    <w:rPr>
      <w:lang w:val="en-US"/>
    </w:rPr>
  </w:style>
  <w:style w:type="paragraph" w:customStyle="1" w:styleId="Schedule8">
    <w:name w:val="Schedule 8"/>
    <w:basedOn w:val="Normal"/>
    <w:uiPriority w:val="30"/>
    <w:qFormat/>
    <w:rsid w:val="00390A34"/>
    <w:pPr>
      <w:numPr>
        <w:ilvl w:val="7"/>
        <w:numId w:val="24"/>
      </w:numPr>
      <w:spacing w:after="180"/>
      <w:jc w:val="both"/>
    </w:pPr>
    <w:rPr>
      <w:lang w:val="en-US"/>
    </w:rPr>
  </w:style>
  <w:style w:type="paragraph" w:customStyle="1" w:styleId="Schedule9">
    <w:name w:val="Schedule 9"/>
    <w:basedOn w:val="Normal"/>
    <w:uiPriority w:val="30"/>
    <w:qFormat/>
    <w:rsid w:val="00390A34"/>
    <w:pPr>
      <w:numPr>
        <w:ilvl w:val="8"/>
        <w:numId w:val="24"/>
      </w:numPr>
      <w:spacing w:after="180"/>
      <w:jc w:val="both"/>
    </w:pPr>
    <w:rPr>
      <w:lang w:val="en-US"/>
    </w:rPr>
  </w:style>
  <w:style w:type="character" w:styleId="CommentReference">
    <w:name w:val="annotation reference"/>
    <w:basedOn w:val="DefaultParagraphFont"/>
    <w:uiPriority w:val="99"/>
    <w:unhideWhenUsed/>
    <w:qFormat/>
    <w:rsid w:val="00390A34"/>
    <w:rPr>
      <w:sz w:val="16"/>
      <w:szCs w:val="16"/>
    </w:rPr>
  </w:style>
  <w:style w:type="paragraph" w:styleId="CommentText">
    <w:name w:val="annotation text"/>
    <w:basedOn w:val="Normal"/>
    <w:link w:val="CommentTextChar"/>
    <w:uiPriority w:val="99"/>
    <w:unhideWhenUsed/>
    <w:qFormat/>
    <w:rsid w:val="00390A34"/>
    <w:rPr>
      <w:sz w:val="20"/>
      <w:szCs w:val="20"/>
      <w:lang w:val="en-US"/>
    </w:rPr>
  </w:style>
  <w:style w:type="character" w:customStyle="1" w:styleId="CommentTextChar">
    <w:name w:val="Comment Text Char"/>
    <w:basedOn w:val="DefaultParagraphFont"/>
    <w:link w:val="CommentText"/>
    <w:uiPriority w:val="99"/>
    <w:qFormat/>
    <w:rsid w:val="00390A34"/>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90A34"/>
    <w:rPr>
      <w:b/>
      <w:bCs/>
    </w:rPr>
  </w:style>
  <w:style w:type="character" w:customStyle="1" w:styleId="CommentSubjectChar">
    <w:name w:val="Comment Subject Char"/>
    <w:basedOn w:val="CommentTextChar"/>
    <w:link w:val="CommentSubject"/>
    <w:uiPriority w:val="99"/>
    <w:semiHidden/>
    <w:rsid w:val="00390A34"/>
    <w:rPr>
      <w:rFonts w:ascii="Times New Roman" w:eastAsia="MS Mincho" w:hAnsi="Times New Roman" w:cs="Times New Roman"/>
      <w:b/>
      <w:bCs/>
      <w:sz w:val="20"/>
      <w:szCs w:val="20"/>
    </w:rPr>
  </w:style>
  <w:style w:type="paragraph" w:styleId="Revision">
    <w:name w:val="Revision"/>
    <w:hidden/>
    <w:uiPriority w:val="99"/>
    <w:semiHidden/>
    <w:rsid w:val="00390A34"/>
    <w:pPr>
      <w:spacing w:after="0" w:line="240" w:lineRule="auto"/>
    </w:pPr>
    <w:rPr>
      <w:rFonts w:ascii="Times New Roman" w:eastAsia="MS Mincho" w:hAnsi="Times New Roman" w:cs="Times New Roman"/>
    </w:rPr>
  </w:style>
  <w:style w:type="paragraph" w:styleId="ListParagraph">
    <w:name w:val="List Paragraph"/>
    <w:basedOn w:val="Normal"/>
    <w:uiPriority w:val="34"/>
    <w:qFormat/>
    <w:rsid w:val="00390A34"/>
    <w:pPr>
      <w:ind w:left="720"/>
      <w:contextualSpacing/>
    </w:pPr>
    <w:rPr>
      <w:lang w:val="en-US"/>
    </w:rPr>
  </w:style>
  <w:style w:type="table" w:styleId="GridTable1Light-Accent1">
    <w:name w:val="Grid Table 1 Light Accent 1"/>
    <w:basedOn w:val="TableNormal"/>
    <w:uiPriority w:val="46"/>
    <w:rsid w:val="00390A34"/>
    <w:pPr>
      <w:spacing w:after="0" w:line="240" w:lineRule="auto"/>
    </w:pPr>
    <w:tblPr>
      <w:tblStyleRowBandSize w:val="1"/>
      <w:tblStyleColBandSize w:val="1"/>
      <w:tblBorders>
        <w:top w:val="single" w:sz="4" w:space="0" w:color="89E2FF" w:themeColor="accent1" w:themeTint="66"/>
        <w:left w:val="single" w:sz="4" w:space="0" w:color="89E2FF" w:themeColor="accent1" w:themeTint="66"/>
        <w:bottom w:val="single" w:sz="4" w:space="0" w:color="89E2FF" w:themeColor="accent1" w:themeTint="66"/>
        <w:right w:val="single" w:sz="4" w:space="0" w:color="89E2FF" w:themeColor="accent1" w:themeTint="66"/>
        <w:insideH w:val="single" w:sz="4" w:space="0" w:color="89E2FF" w:themeColor="accent1" w:themeTint="66"/>
        <w:insideV w:val="single" w:sz="4" w:space="0" w:color="89E2FF" w:themeColor="accent1" w:themeTint="66"/>
      </w:tblBorders>
    </w:tblPr>
    <w:tblStylePr w:type="firstRow">
      <w:rPr>
        <w:b/>
        <w:bCs/>
      </w:rPr>
      <w:tblPr/>
      <w:tcPr>
        <w:tcBorders>
          <w:bottom w:val="single" w:sz="12" w:space="0" w:color="4FD4FF" w:themeColor="accent1" w:themeTint="99"/>
        </w:tcBorders>
      </w:tcPr>
    </w:tblStylePr>
    <w:tblStylePr w:type="lastRow">
      <w:rPr>
        <w:b/>
        <w:bCs/>
      </w:rPr>
      <w:tblPr/>
      <w:tcPr>
        <w:tcBorders>
          <w:top w:val="double" w:sz="2" w:space="0" w:color="4FD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90A34"/>
    <w:pPr>
      <w:spacing w:after="0" w:line="240" w:lineRule="auto"/>
    </w:pPr>
    <w:tblPr>
      <w:tblStyleRowBandSize w:val="1"/>
      <w:tblStyleColBandSize w:val="1"/>
      <w:tblBorders>
        <w:top w:val="single" w:sz="4" w:space="0" w:color="F0F1F1" w:themeColor="accent2" w:themeTint="66"/>
        <w:left w:val="single" w:sz="4" w:space="0" w:color="F0F1F1" w:themeColor="accent2" w:themeTint="66"/>
        <w:bottom w:val="single" w:sz="4" w:space="0" w:color="F0F1F1" w:themeColor="accent2" w:themeTint="66"/>
        <w:right w:val="single" w:sz="4" w:space="0" w:color="F0F1F1" w:themeColor="accent2" w:themeTint="66"/>
        <w:insideH w:val="single" w:sz="4" w:space="0" w:color="F0F1F1" w:themeColor="accent2" w:themeTint="66"/>
        <w:insideV w:val="single" w:sz="4" w:space="0" w:color="F0F1F1" w:themeColor="accent2" w:themeTint="66"/>
      </w:tblBorders>
    </w:tblPr>
    <w:tblStylePr w:type="firstRow">
      <w:rPr>
        <w:b/>
        <w:bCs/>
      </w:rPr>
      <w:tblPr/>
      <w:tcPr>
        <w:tcBorders>
          <w:bottom w:val="single" w:sz="12" w:space="0" w:color="E9EAEB" w:themeColor="accent2" w:themeTint="99"/>
        </w:tcBorders>
      </w:tcPr>
    </w:tblStylePr>
    <w:tblStylePr w:type="lastRow">
      <w:rPr>
        <w:b/>
        <w:bCs/>
      </w:rPr>
      <w:tblPr/>
      <w:tcPr>
        <w:tcBorders>
          <w:top w:val="double" w:sz="2" w:space="0" w:color="E9EA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90A34"/>
    <w:pPr>
      <w:spacing w:after="0" w:line="240" w:lineRule="auto"/>
    </w:pPr>
    <w:tblPr>
      <w:tblStyleRowBandSize w:val="1"/>
      <w:tblStyleColBandSize w:val="1"/>
      <w:tblBorders>
        <w:top w:val="single" w:sz="4" w:space="0" w:color="B4E5F4" w:themeColor="accent3" w:themeTint="66"/>
        <w:left w:val="single" w:sz="4" w:space="0" w:color="B4E5F4" w:themeColor="accent3" w:themeTint="66"/>
        <w:bottom w:val="single" w:sz="4" w:space="0" w:color="B4E5F4" w:themeColor="accent3" w:themeTint="66"/>
        <w:right w:val="single" w:sz="4" w:space="0" w:color="B4E5F4" w:themeColor="accent3" w:themeTint="66"/>
        <w:insideH w:val="single" w:sz="4" w:space="0" w:color="B4E5F4" w:themeColor="accent3" w:themeTint="66"/>
        <w:insideV w:val="single" w:sz="4" w:space="0" w:color="B4E5F4" w:themeColor="accent3" w:themeTint="66"/>
      </w:tblBorders>
    </w:tblPr>
    <w:tblStylePr w:type="firstRow">
      <w:rPr>
        <w:b/>
        <w:bCs/>
      </w:rPr>
      <w:tblPr/>
      <w:tcPr>
        <w:tcBorders>
          <w:bottom w:val="single" w:sz="12" w:space="0" w:color="8FD8EF" w:themeColor="accent3" w:themeTint="99"/>
        </w:tcBorders>
      </w:tcPr>
    </w:tblStylePr>
    <w:tblStylePr w:type="lastRow">
      <w:rPr>
        <w:b/>
        <w:bCs/>
      </w:rPr>
      <w:tblPr/>
      <w:tcPr>
        <w:tcBorders>
          <w:top w:val="double" w:sz="2" w:space="0" w:color="8FD8EF" w:themeColor="accent3"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390A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390A3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390A3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390A3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390A34"/>
    <w:rPr>
      <w:color w:val="800080" w:themeColor="followedHyperlink"/>
      <w:u w:val="single"/>
    </w:rPr>
  </w:style>
  <w:style w:type="character" w:styleId="UnresolvedMention">
    <w:name w:val="Unresolved Mention"/>
    <w:basedOn w:val="DefaultParagraphFont"/>
    <w:uiPriority w:val="99"/>
    <w:semiHidden/>
    <w:unhideWhenUsed/>
    <w:rsid w:val="00F00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3776">
      <w:bodyDiv w:val="1"/>
      <w:marLeft w:val="0"/>
      <w:marRight w:val="0"/>
      <w:marTop w:val="0"/>
      <w:marBottom w:val="0"/>
      <w:divBdr>
        <w:top w:val="none" w:sz="0" w:space="0" w:color="auto"/>
        <w:left w:val="none" w:sz="0" w:space="0" w:color="auto"/>
        <w:bottom w:val="none" w:sz="0" w:space="0" w:color="auto"/>
        <w:right w:val="none" w:sz="0" w:space="0" w:color="auto"/>
      </w:divBdr>
    </w:div>
    <w:div w:id="320044154">
      <w:bodyDiv w:val="1"/>
      <w:marLeft w:val="0"/>
      <w:marRight w:val="0"/>
      <w:marTop w:val="0"/>
      <w:marBottom w:val="0"/>
      <w:divBdr>
        <w:top w:val="none" w:sz="0" w:space="0" w:color="auto"/>
        <w:left w:val="none" w:sz="0" w:space="0" w:color="auto"/>
        <w:bottom w:val="none" w:sz="0" w:space="0" w:color="auto"/>
        <w:right w:val="none" w:sz="0" w:space="0" w:color="auto"/>
      </w:divBdr>
    </w:div>
    <w:div w:id="942999584">
      <w:bodyDiv w:val="1"/>
      <w:marLeft w:val="0"/>
      <w:marRight w:val="0"/>
      <w:marTop w:val="0"/>
      <w:marBottom w:val="0"/>
      <w:divBdr>
        <w:top w:val="none" w:sz="0" w:space="0" w:color="auto"/>
        <w:left w:val="none" w:sz="0" w:space="0" w:color="auto"/>
        <w:bottom w:val="none" w:sz="0" w:space="0" w:color="auto"/>
        <w:right w:val="none" w:sz="0" w:space="0" w:color="auto"/>
      </w:divBdr>
    </w:div>
    <w:div w:id="1233807889">
      <w:bodyDiv w:val="1"/>
      <w:marLeft w:val="0"/>
      <w:marRight w:val="0"/>
      <w:marTop w:val="0"/>
      <w:marBottom w:val="0"/>
      <w:divBdr>
        <w:top w:val="none" w:sz="0" w:space="0" w:color="auto"/>
        <w:left w:val="none" w:sz="0" w:space="0" w:color="auto"/>
        <w:bottom w:val="none" w:sz="0" w:space="0" w:color="auto"/>
        <w:right w:val="none" w:sz="0" w:space="0" w:color="auto"/>
      </w:divBdr>
      <w:divsChild>
        <w:div w:id="1145707368">
          <w:marLeft w:val="0"/>
          <w:marRight w:val="0"/>
          <w:marTop w:val="0"/>
          <w:marBottom w:val="0"/>
          <w:divBdr>
            <w:top w:val="single" w:sz="2" w:space="0" w:color="D9D9E3"/>
            <w:left w:val="single" w:sz="2" w:space="0" w:color="D9D9E3"/>
            <w:bottom w:val="single" w:sz="2" w:space="0" w:color="D9D9E3"/>
            <w:right w:val="single" w:sz="2" w:space="0" w:color="D9D9E3"/>
          </w:divBdr>
          <w:divsChild>
            <w:div w:id="1991444252">
              <w:marLeft w:val="0"/>
              <w:marRight w:val="0"/>
              <w:marTop w:val="0"/>
              <w:marBottom w:val="0"/>
              <w:divBdr>
                <w:top w:val="single" w:sz="2" w:space="0" w:color="D9D9E3"/>
                <w:left w:val="single" w:sz="2" w:space="0" w:color="D9D9E3"/>
                <w:bottom w:val="single" w:sz="2" w:space="0" w:color="D9D9E3"/>
                <w:right w:val="single" w:sz="2" w:space="0" w:color="D9D9E3"/>
              </w:divBdr>
              <w:divsChild>
                <w:div w:id="20865331">
                  <w:marLeft w:val="0"/>
                  <w:marRight w:val="0"/>
                  <w:marTop w:val="0"/>
                  <w:marBottom w:val="0"/>
                  <w:divBdr>
                    <w:top w:val="single" w:sz="2" w:space="0" w:color="D9D9E3"/>
                    <w:left w:val="single" w:sz="2" w:space="0" w:color="D9D9E3"/>
                    <w:bottom w:val="single" w:sz="2" w:space="0" w:color="D9D9E3"/>
                    <w:right w:val="single" w:sz="2" w:space="0" w:color="D9D9E3"/>
                  </w:divBdr>
                  <w:divsChild>
                    <w:div w:id="255328713">
                      <w:marLeft w:val="0"/>
                      <w:marRight w:val="0"/>
                      <w:marTop w:val="0"/>
                      <w:marBottom w:val="0"/>
                      <w:divBdr>
                        <w:top w:val="single" w:sz="2" w:space="0" w:color="D9D9E3"/>
                        <w:left w:val="single" w:sz="2" w:space="0" w:color="D9D9E3"/>
                        <w:bottom w:val="single" w:sz="2" w:space="0" w:color="D9D9E3"/>
                        <w:right w:val="single" w:sz="2" w:space="0" w:color="D9D9E3"/>
                      </w:divBdr>
                      <w:divsChild>
                        <w:div w:id="1353261626">
                          <w:marLeft w:val="0"/>
                          <w:marRight w:val="0"/>
                          <w:marTop w:val="0"/>
                          <w:marBottom w:val="0"/>
                          <w:divBdr>
                            <w:top w:val="single" w:sz="2" w:space="0" w:color="D9D9E3"/>
                            <w:left w:val="single" w:sz="2" w:space="0" w:color="D9D9E3"/>
                            <w:bottom w:val="single" w:sz="2" w:space="0" w:color="D9D9E3"/>
                            <w:right w:val="single" w:sz="2" w:space="0" w:color="D9D9E3"/>
                          </w:divBdr>
                          <w:divsChild>
                            <w:div w:id="1503159408">
                              <w:marLeft w:val="0"/>
                              <w:marRight w:val="0"/>
                              <w:marTop w:val="100"/>
                              <w:marBottom w:val="100"/>
                              <w:divBdr>
                                <w:top w:val="single" w:sz="2" w:space="0" w:color="D9D9E3"/>
                                <w:left w:val="single" w:sz="2" w:space="0" w:color="D9D9E3"/>
                                <w:bottom w:val="single" w:sz="2" w:space="0" w:color="D9D9E3"/>
                                <w:right w:val="single" w:sz="2" w:space="0" w:color="D9D9E3"/>
                              </w:divBdr>
                              <w:divsChild>
                                <w:div w:id="1985962116">
                                  <w:marLeft w:val="0"/>
                                  <w:marRight w:val="0"/>
                                  <w:marTop w:val="0"/>
                                  <w:marBottom w:val="0"/>
                                  <w:divBdr>
                                    <w:top w:val="single" w:sz="2" w:space="0" w:color="D9D9E3"/>
                                    <w:left w:val="single" w:sz="2" w:space="0" w:color="D9D9E3"/>
                                    <w:bottom w:val="single" w:sz="2" w:space="0" w:color="D9D9E3"/>
                                    <w:right w:val="single" w:sz="2" w:space="0" w:color="D9D9E3"/>
                                  </w:divBdr>
                                  <w:divsChild>
                                    <w:div w:id="538979688">
                                      <w:marLeft w:val="0"/>
                                      <w:marRight w:val="0"/>
                                      <w:marTop w:val="0"/>
                                      <w:marBottom w:val="0"/>
                                      <w:divBdr>
                                        <w:top w:val="single" w:sz="2" w:space="0" w:color="D9D9E3"/>
                                        <w:left w:val="single" w:sz="2" w:space="0" w:color="D9D9E3"/>
                                        <w:bottom w:val="single" w:sz="2" w:space="0" w:color="D9D9E3"/>
                                        <w:right w:val="single" w:sz="2" w:space="0" w:color="D9D9E3"/>
                                      </w:divBdr>
                                      <w:divsChild>
                                        <w:div w:id="101069371">
                                          <w:marLeft w:val="0"/>
                                          <w:marRight w:val="0"/>
                                          <w:marTop w:val="0"/>
                                          <w:marBottom w:val="0"/>
                                          <w:divBdr>
                                            <w:top w:val="single" w:sz="2" w:space="0" w:color="D9D9E3"/>
                                            <w:left w:val="single" w:sz="2" w:space="0" w:color="D9D9E3"/>
                                            <w:bottom w:val="single" w:sz="2" w:space="0" w:color="D9D9E3"/>
                                            <w:right w:val="single" w:sz="2" w:space="0" w:color="D9D9E3"/>
                                          </w:divBdr>
                                          <w:divsChild>
                                            <w:div w:id="1233394256">
                                              <w:marLeft w:val="0"/>
                                              <w:marRight w:val="0"/>
                                              <w:marTop w:val="0"/>
                                              <w:marBottom w:val="0"/>
                                              <w:divBdr>
                                                <w:top w:val="single" w:sz="2" w:space="0" w:color="D9D9E3"/>
                                                <w:left w:val="single" w:sz="2" w:space="0" w:color="D9D9E3"/>
                                                <w:bottom w:val="single" w:sz="2" w:space="0" w:color="D9D9E3"/>
                                                <w:right w:val="single" w:sz="2" w:space="0" w:color="D9D9E3"/>
                                              </w:divBdr>
                                              <w:divsChild>
                                                <w:div w:id="508912569">
                                                  <w:marLeft w:val="0"/>
                                                  <w:marRight w:val="0"/>
                                                  <w:marTop w:val="0"/>
                                                  <w:marBottom w:val="0"/>
                                                  <w:divBdr>
                                                    <w:top w:val="single" w:sz="2" w:space="0" w:color="D9D9E3"/>
                                                    <w:left w:val="single" w:sz="2" w:space="0" w:color="D9D9E3"/>
                                                    <w:bottom w:val="single" w:sz="2" w:space="0" w:color="D9D9E3"/>
                                                    <w:right w:val="single" w:sz="2" w:space="0" w:color="D9D9E3"/>
                                                  </w:divBdr>
                                                  <w:divsChild>
                                                    <w:div w:id="11671327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44251535">
          <w:marLeft w:val="0"/>
          <w:marRight w:val="0"/>
          <w:marTop w:val="0"/>
          <w:marBottom w:val="0"/>
          <w:divBdr>
            <w:top w:val="none" w:sz="0" w:space="0" w:color="auto"/>
            <w:left w:val="none" w:sz="0" w:space="0" w:color="auto"/>
            <w:bottom w:val="none" w:sz="0" w:space="0" w:color="auto"/>
            <w:right w:val="none" w:sz="0" w:space="0" w:color="auto"/>
          </w:divBdr>
        </w:div>
      </w:divsChild>
    </w:div>
    <w:div w:id="181910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thereum.org/en/et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hiteCase\Word\w00.11.HouseStyle.dotm" TargetMode="External"/></Relationships>
</file>

<file path=word/theme/theme1.xml><?xml version="1.0" encoding="utf-8"?>
<a:theme xmlns:a="http://schemas.openxmlformats.org/drawingml/2006/main" name="Default Theme">
  <a:themeElements>
    <a:clrScheme name="White Rebrand Colors">
      <a:dk1>
        <a:srgbClr val="000000"/>
      </a:dk1>
      <a:lt1>
        <a:sysClr val="window" lastClr="FFFFFF"/>
      </a:lt1>
      <a:dk2>
        <a:srgbClr val="000000"/>
      </a:dk2>
      <a:lt2>
        <a:srgbClr val="FFFFFF"/>
      </a:lt2>
      <a:accent1>
        <a:srgbClr val="00A5D9"/>
      </a:accent1>
      <a:accent2>
        <a:srgbClr val="DCDDDE"/>
      </a:accent2>
      <a:accent3>
        <a:srgbClr val="46C0E5"/>
      </a:accent3>
      <a:accent4>
        <a:srgbClr val="AFB1B4"/>
      </a:accent4>
      <a:accent5>
        <a:srgbClr val="C5E7F7"/>
      </a:accent5>
      <a:accent6>
        <a:srgbClr val="808285"/>
      </a:accent6>
      <a:hlink>
        <a:srgbClr val="0000FF"/>
      </a:hlink>
      <a:folHlink>
        <a:srgbClr val="800080"/>
      </a:folHlink>
    </a:clrScheme>
    <a:fontScheme name="W&amp;C Standard">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chemeClr val="tx1"/>
          </a:solidFill>
          <a:headEnd type="none" w="med" len="med"/>
          <a:tailEnd type="none" w="med" len="med"/>
        </a:ln>
      </a:spPr>
      <a:bodyPr rot="0" spcFirstLastPara="0" vertOverflow="overflow" horzOverflow="overflow" vert="horz" wrap="square" lIns="0" tIns="45720" rIns="0" bIns="45720" numCol="1" spcCol="0" rtlCol="0" fromWordArt="0" anchor="ctr" anchorCtr="1" forceAA="0" compatLnSpc="1">
        <a:prstTxWarp prst="textNoShape">
          <a:avLst/>
        </a:prstTxWarp>
        <a:noAutofit/>
      </a:bodyPr>
      <a:lstStyle>
        <a:defPPr marL="0" marR="0" indent="0" algn="l" defTabSz="914400" rtl="0" eaLnBrk="1" fontAlgn="base" latinLnBrk="0" hangingPunct="1">
          <a:lnSpc>
            <a:spcPct val="100000"/>
          </a:lnSpc>
          <a:spcBef>
            <a:spcPct val="35000"/>
          </a:spcBef>
          <a:spcAft>
            <a:spcPct val="0"/>
          </a:spcAft>
          <a:buClr>
            <a:srgbClr val="00A5D9"/>
          </a:buClr>
          <a:buSzPct val="90000"/>
          <a:buFont typeface="Wingdings" charset="2"/>
          <a:buNone/>
          <a:tabLst>
            <a:tab pos="400050" algn="l"/>
          </a:tabLst>
          <a:defRPr kumimoji="0" sz="1200" b="0" i="0" u="none" strike="noStrike" cap="none" normalizeH="0" baseline="0" dirty="0" smtClean="0">
            <a:ln>
              <a:noFill/>
            </a:ln>
            <a:solidFill>
              <a:schemeClr val="tx1"/>
            </a:solidFill>
            <a:effectLst/>
            <a:latin typeface="Arial" charset="0"/>
            <a:ea typeface="Arial" charset="0"/>
            <a:cs typeface="Arial" charset="0"/>
          </a:defRPr>
        </a:defPPr>
      </a:lstStyle>
      <a:style>
        <a:lnRef idx="2">
          <a:schemeClr val="accent1"/>
        </a:lnRef>
        <a:fillRef idx="1">
          <a:schemeClr val="lt1"/>
        </a:fillRef>
        <a:effectRef idx="0">
          <a:schemeClr val="accent1"/>
        </a:effectRef>
        <a:fontRef idx="minor">
          <a:schemeClr val="dk1"/>
        </a:fontRef>
      </a:style>
    </a:spDef>
    <a:lnDef>
      <a:spPr bwMode="auto">
        <a:solidFill>
          <a:srgbClr val="3656AB"/>
        </a:solidFill>
        <a:ln w="12700" cap="flat" cmpd="sng" algn="ctr">
          <a:solidFill>
            <a:schemeClr val="tx1"/>
          </a:solidFill>
          <a:prstDash val="solid"/>
          <a:round/>
          <a:headEnd type="none" w="med" len="med"/>
          <a:tailEnd type="arrow"/>
        </a:ln>
        <a:effectLst/>
      </a:spPr>
      <a:bodyPr/>
      <a:lstStyle/>
    </a:lnDef>
  </a:objectDefaults>
  <a:extraClrSchemeLst>
    <a:extraClrScheme>
      <a:clrScheme name="Text pages 1">
        <a:dk1>
          <a:srgbClr val="000000"/>
        </a:dk1>
        <a:lt1>
          <a:srgbClr val="FFFFFF"/>
        </a:lt1>
        <a:dk2>
          <a:srgbClr val="DCDCDC"/>
        </a:dk2>
        <a:lt2>
          <a:srgbClr val="F8E5D6"/>
        </a:lt2>
        <a:accent1>
          <a:srgbClr val="D46F23"/>
        </a:accent1>
        <a:accent2>
          <a:srgbClr val="E28C4D"/>
        </a:accent2>
        <a:accent3>
          <a:srgbClr val="FFFFFF"/>
        </a:accent3>
        <a:accent4>
          <a:srgbClr val="000000"/>
        </a:accent4>
        <a:accent5>
          <a:srgbClr val="E6BBAC"/>
        </a:accent5>
        <a:accent6>
          <a:srgbClr val="CD7E45"/>
        </a:accent6>
        <a:hlink>
          <a:srgbClr val="E9A97A"/>
        </a:hlink>
        <a:folHlink>
          <a:srgbClr val="EFC19F"/>
        </a:folHlink>
      </a:clrScheme>
      <a:clrMap bg1="lt1" tx1="dk1" bg2="lt2" tx2="dk2" accent1="accent1" accent2="accent2" accent3="accent3" accent4="accent4" accent5="accent5" accent6="accent6" hlink="hlink" folHlink="folHlink"/>
    </a:extraClrScheme>
    <a:extraClrScheme>
      <a:clrScheme name="Text pages 2">
        <a:dk1>
          <a:srgbClr val="000000"/>
        </a:dk1>
        <a:lt1>
          <a:srgbClr val="FFFFFF"/>
        </a:lt1>
        <a:dk2>
          <a:srgbClr val="DCDCDC"/>
        </a:dk2>
        <a:lt2>
          <a:srgbClr val="9BD2FF"/>
        </a:lt2>
        <a:accent1>
          <a:srgbClr val="005DAA"/>
        </a:accent1>
        <a:accent2>
          <a:srgbClr val="0082EE"/>
        </a:accent2>
        <a:accent3>
          <a:srgbClr val="FFFFFF"/>
        </a:accent3>
        <a:accent4>
          <a:srgbClr val="000000"/>
        </a:accent4>
        <a:accent5>
          <a:srgbClr val="AAB6D2"/>
        </a:accent5>
        <a:accent6>
          <a:srgbClr val="0075D8"/>
        </a:accent6>
        <a:hlink>
          <a:srgbClr val="219BFF"/>
        </a:hlink>
        <a:folHlink>
          <a:srgbClr val="79C2FF"/>
        </a:folHlink>
      </a:clrScheme>
      <a:clrMap bg1="lt1" tx1="dk1" bg2="lt2" tx2="dk2" accent1="accent1" accent2="accent2" accent3="accent3" accent4="accent4" accent5="accent5" accent6="accent6" hlink="hlink" folHlink="folHlink"/>
    </a:extraClrScheme>
    <a:extraClrScheme>
      <a:clrScheme name="Text pages 3">
        <a:dk1>
          <a:srgbClr val="000000"/>
        </a:dk1>
        <a:lt1>
          <a:srgbClr val="FFFFFF"/>
        </a:lt1>
        <a:dk2>
          <a:srgbClr val="DCDCD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4">
        <a:dk1>
          <a:srgbClr val="000000"/>
        </a:dk1>
        <a:lt1>
          <a:srgbClr val="FFFFFF"/>
        </a:lt1>
        <a:dk2>
          <a:srgbClr val="C9CBC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5">
        <a:dk1>
          <a:srgbClr val="000000"/>
        </a:dk1>
        <a:lt1>
          <a:srgbClr val="FFFFFF"/>
        </a:lt1>
        <a:dk2>
          <a:srgbClr val="C9CBCC"/>
        </a:dk2>
        <a:lt2>
          <a:srgbClr val="B7DEFF"/>
        </a:lt2>
        <a:accent1>
          <a:srgbClr val="005DAA"/>
        </a:accent1>
        <a:accent2>
          <a:srgbClr val="00A5D9"/>
        </a:accent2>
        <a:accent3>
          <a:srgbClr val="FFFFFF"/>
        </a:accent3>
        <a:accent4>
          <a:srgbClr val="000000"/>
        </a:accent4>
        <a:accent5>
          <a:srgbClr val="AAB6D2"/>
        </a:accent5>
        <a:accent6>
          <a:srgbClr val="0095C4"/>
        </a:accent6>
        <a:hlink>
          <a:srgbClr val="00AF9E"/>
        </a:hlink>
        <a:folHlink>
          <a:srgbClr val="93CEFF"/>
        </a:folHlink>
      </a:clrScheme>
      <a:clrMap bg1="lt1" tx1="dk1" bg2="lt2" tx2="dk2" accent1="accent1" accent2="accent2" accent3="accent3" accent4="accent4" accent5="accent5" accent6="accent6" hlink="hlink" folHlink="folHlink"/>
    </a:extraClrScheme>
    <a:extraClrScheme>
      <a:clrScheme name="Text pages 6">
        <a:dk1>
          <a:srgbClr val="000000"/>
        </a:dk1>
        <a:lt1>
          <a:srgbClr val="FFFFFF"/>
        </a:lt1>
        <a:dk2>
          <a:srgbClr val="C9CBCC"/>
        </a:dk2>
        <a:lt2>
          <a:srgbClr val="6DB33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93CEFF"/>
        </a:folHlink>
      </a:clrScheme>
      <a:clrMap bg1="lt1" tx1="dk1" bg2="lt2" tx2="dk2" accent1="accent1" accent2="accent2" accent3="accent3" accent4="accent4" accent5="accent5" accent6="accent6" hlink="hlink" folHlink="folHlink"/>
    </a:extraClrScheme>
    <a:extraClrScheme>
      <a:clrScheme name="Text pages 7">
        <a:dk1>
          <a:srgbClr val="000000"/>
        </a:dk1>
        <a:lt1>
          <a:srgbClr val="FFFFFF"/>
        </a:lt1>
        <a:dk2>
          <a:srgbClr val="C9CBCC"/>
        </a:dk2>
        <a:lt2>
          <a:srgbClr val="93CEF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6DB33F"/>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6829F9418D9A49A71A0EDA6DFBCE56" ma:contentTypeVersion="17" ma:contentTypeDescription="Create a new document." ma:contentTypeScope="" ma:versionID="d24f666c602f23078151cd4efe2f0d63">
  <xsd:schema xmlns:xsd="http://www.w3.org/2001/XMLSchema" xmlns:xs="http://www.w3.org/2001/XMLSchema" xmlns:p="http://schemas.microsoft.com/office/2006/metadata/properties" xmlns:ns2="26d035a7-9ca6-4cc8-b191-bfaf02b6a662" xmlns:ns3="c9bbcbda-5439-454d-b032-e0a0df44c071" targetNamespace="http://schemas.microsoft.com/office/2006/metadata/properties" ma:root="true" ma:fieldsID="0ca3a7c838b55dbb89e89be8c3294b2a" ns2:_="" ns3:_="">
    <xsd:import namespace="26d035a7-9ca6-4cc8-b191-bfaf02b6a662"/>
    <xsd:import namespace="c9bbcbda-5439-454d-b032-e0a0df44c0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035a7-9ca6-4cc8-b191-bfaf02b6a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678c14-33b2-4519-b0ff-1c454fae6541"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bbcbda-5439-454d-b032-e0a0df44c0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bd9b55e-dfca-4cbb-a746-4bcb6dc9f5f4}" ma:internalName="TaxCatchAll" ma:showField="CatchAllData" ma:web="c9bbcbda-5439-454d-b032-e0a0df44c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9bbcbda-5439-454d-b032-e0a0df44c071" xsi:nil="true"/>
    <lcf76f155ced4ddcb4097134ff3c332f xmlns="26d035a7-9ca6-4cc8-b191-bfaf02b6a6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2F0BB2-D60E-429C-AABB-80ECAE90AA1F}">
  <ds:schemaRefs>
    <ds:schemaRef ds:uri="http://schemas.openxmlformats.org/officeDocument/2006/bibliography"/>
  </ds:schemaRefs>
</ds:datastoreItem>
</file>

<file path=customXml/itemProps2.xml><?xml version="1.0" encoding="utf-8"?>
<ds:datastoreItem xmlns:ds="http://schemas.openxmlformats.org/officeDocument/2006/customXml" ds:itemID="{F2CC08E5-D2AC-4E2F-B98E-2B873872D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035a7-9ca6-4cc8-b191-bfaf02b6a662"/>
    <ds:schemaRef ds:uri="c9bbcbda-5439-454d-b032-e0a0df44c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1B259C-78B4-4D30-A1DF-E04EA4F25323}">
  <ds:schemaRefs>
    <ds:schemaRef ds:uri="http://schemas.microsoft.com/sharepoint/v3/contenttype/forms"/>
  </ds:schemaRefs>
</ds:datastoreItem>
</file>

<file path=customXml/itemProps4.xml><?xml version="1.0" encoding="utf-8"?>
<ds:datastoreItem xmlns:ds="http://schemas.openxmlformats.org/officeDocument/2006/customXml" ds:itemID="{4AF6C5EF-2AE6-40F4-B505-F7DC07D346E0}">
  <ds:schemaRefs>
    <ds:schemaRef ds:uri="http://schemas.microsoft.com/office/2006/metadata/properties"/>
    <ds:schemaRef ds:uri="http://schemas.microsoft.com/office/infopath/2007/PartnerControls"/>
    <ds:schemaRef ds:uri="c9bbcbda-5439-454d-b032-e0a0df44c071"/>
    <ds:schemaRef ds:uri="26d035a7-9ca6-4cc8-b191-bfaf02b6a662"/>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Office\Templates\WhiteCase\Word\w00.11.HouseStyle.dotm</Template>
  <TotalTime>2</TotalTime>
  <Pages>8</Pages>
  <Words>5139</Words>
  <Characters>29295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W&amp;C Standard Template</vt:lpstr>
    </vt:vector>
  </TitlesOfParts>
  <Company>White &amp; Case LLP</Company>
  <LinksUpToDate>false</LinksUpToDate>
  <CharactersWithSpaces>34366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W&amp;C Standard Template</dc:title>
  <dc:creator>W&amp;C Users</dc:creator>
  <cp:lastModifiedBy>Luke Sayer</cp:lastModifiedBy>
  <cp:revision>23</cp:revision>
  <dcterms:created xsi:type="dcterms:W3CDTF">2023-12-14T13:53:00Z</dcterms:created>
  <dcterms:modified xsi:type="dcterms:W3CDTF">2024-01-24T18:32:00Z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CFooterVersion">
    <vt:i4>1</vt:i4>
  </property>
  <property fmtid="{D5CDD505-2E9C-101B-9397-08002B2CF9AE}" pid="3" name="NewIn2000">
    <vt:bool>true</vt:bool>
  </property>
  <property fmtid="{D5CDD505-2E9C-101B-9397-08002B2CF9AE}" pid="4" name="NRT_DocNumber">
    <vt:lpwstr/>
  </property>
  <property fmtid="{D5CDD505-2E9C-101B-9397-08002B2CF9AE}" pid="5" name="NRT_DocVersion">
    <vt:lpwstr/>
  </property>
  <property fmtid="{D5CDD505-2E9C-101B-9397-08002B2CF9AE}" pid="6" name="NRT_DocName">
    <vt:lpwstr/>
  </property>
  <property fmtid="{D5CDD505-2E9C-101B-9397-08002B2CF9AE}" pid="7" name="NRT_AuthorDescription">
    <vt:lpwstr/>
  </property>
  <property fmtid="{D5CDD505-2E9C-101B-9397-08002B2CF9AE}" pid="8" name="NRT_Author">
    <vt:lpwstr/>
  </property>
  <property fmtid="{D5CDD505-2E9C-101B-9397-08002B2CF9AE}" pid="9" name="NRT_Operator">
    <vt:lpwstr/>
  </property>
  <property fmtid="{D5CDD505-2E9C-101B-9397-08002B2CF9AE}" pid="10" name="NRT_Database">
    <vt:lpwstr/>
  </property>
  <property fmtid="{D5CDD505-2E9C-101B-9397-08002B2CF9AE}" pid="11" name="NRT_ELITE_CLIENT">
    <vt:lpwstr/>
  </property>
  <property fmtid="{D5CDD505-2E9C-101B-9397-08002B2CF9AE}" pid="12" name="NRT_ELITE_MATTER">
    <vt:lpwstr/>
  </property>
  <property fmtid="{D5CDD505-2E9C-101B-9397-08002B2CF9AE}" pid="13" name="WCOffice">
    <vt:lpwstr>Frankfurt</vt:lpwstr>
  </property>
  <property fmtid="{D5CDD505-2E9C-101B-9397-08002B2CF9AE}" pid="14" name="Language1">
    <vt:lpwstr>GERMAN (GERMANY)</vt:lpwstr>
  </property>
  <property fmtid="{D5CDD505-2E9C-101B-9397-08002B2CF9AE}" pid="15" name="Office">
    <vt:lpwstr>Frankfurt</vt:lpwstr>
  </property>
  <property fmtid="{D5CDD505-2E9C-101B-9397-08002B2CF9AE}" pid="16" name="DateFormat">
    <vt:lpwstr>DAY. MONTH YEAR</vt:lpwstr>
  </property>
  <property fmtid="{D5CDD505-2E9C-101B-9397-08002B2CF9AE}" pid="17" name="DocID">
    <vt:i4>0</vt:i4>
  </property>
  <property fmtid="{D5CDD505-2E9C-101B-9397-08002B2CF9AE}" pid="18" name="WC_LAST_MODIFIED">
    <vt:lpwstr>12/14/2023 3:45:10 PM</vt:lpwstr>
  </property>
  <property fmtid="{D5CDD505-2E9C-101B-9397-08002B2CF9AE}" pid="19" name="ContentTypeId">
    <vt:lpwstr>0x010100096829F9418D9A49A71A0EDA6DFBCE56</vt:lpwstr>
  </property>
  <property fmtid="{D5CDD505-2E9C-101B-9397-08002B2CF9AE}" pid="20" name="MediaServiceImageTags">
    <vt:lpwstr/>
  </property>
</Properties>
</file>